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Century Gothic" w:hAnsi="Century Gothic" w:cs="Century Gothic"/>
          <w:b/>
          <w:b/>
          <w:sz w:val="36"/>
          <w:szCs w:val="36"/>
        </w:rPr>
      </w:pPr>
      <w:r>
        <w:rPr>
          <w:rFonts w:cs="Century Gothic" w:ascii="Century Gothic" w:hAnsi="Century Gothic"/>
          <w:b/>
          <w:sz w:val="36"/>
          <w:szCs w:val="36"/>
        </w:rPr>
        <w:t>JOB DESCRIPTION</w:t>
      </w:r>
    </w:p>
    <w:p>
      <w:pPr>
        <w:pStyle w:val="Normal"/>
        <w:rPr>
          <w:rFonts w:ascii="Century Gothic" w:hAnsi="Century Gothic" w:cs="Century Gothic"/>
          <w:b/>
          <w:b/>
          <w:sz w:val="48"/>
          <w:szCs w:val="48"/>
        </w:rPr>
      </w:pPr>
      <w:r>
        <w:rPr>
          <w:rFonts w:cs="Century Gothic" w:ascii="Century Gothic" w:hAnsi="Century Gothic"/>
          <w:b/>
          <w:sz w:val="48"/>
          <w:szCs w:val="48"/>
        </w:rPr>
        <w:t>________________________________________</w:t>
      </w:r>
    </w:p>
    <w:p>
      <w:pPr>
        <w:pStyle w:val="Normal"/>
        <w:rPr>
          <w:rFonts w:ascii="Century Gothic" w:hAnsi="Century Gothic" w:cs="Century Gothic"/>
          <w:b/>
          <w:b/>
          <w:sz w:val="22"/>
          <w:szCs w:val="22"/>
        </w:rPr>
      </w:pPr>
      <w:r>
        <w:rPr>
          <w:rFonts w:cs="Century Gothic" w:ascii="Century Gothic" w:hAnsi="Century Gothic"/>
          <w:b/>
          <w:sz w:val="22"/>
          <w:szCs w:val="22"/>
        </w:rPr>
      </w:r>
    </w:p>
    <w:p>
      <w:pPr>
        <w:pStyle w:val="Normal"/>
        <w:spacing w:lineRule="auto" w:line="264"/>
        <w:rPr/>
      </w:pPr>
      <w:r>
        <w:rPr>
          <w:rFonts w:eastAsia="Calibri" w:cs="Century Gothic" w:ascii="Century Gothic" w:hAnsi="Century Gothic"/>
          <w:b/>
          <w:bCs/>
          <w:iCs/>
          <w:szCs w:val="24"/>
        </w:rPr>
        <w:t>School:</w:t>
      </w:r>
      <w:r>
        <w:rPr>
          <w:rFonts w:eastAsia="Calibri" w:cs="Century Gothic" w:ascii="Century Gothic" w:hAnsi="Century Gothic"/>
          <w:bCs/>
          <w:iCs/>
          <w:szCs w:val="24"/>
        </w:rPr>
        <w:t xml:space="preserve"> </w:t>
      </w:r>
      <w:r>
        <w:rPr>
          <w:rFonts w:eastAsia="Calibri" w:cs="Arial" w:ascii="Arial" w:hAnsi="Arial"/>
          <w:szCs w:val="24"/>
          <w:lang w:eastAsia="en-US"/>
        </w:rPr>
        <w:t>Moorgate Primary School</w:t>
      </w:r>
    </w:p>
    <w:p>
      <w:pPr>
        <w:pStyle w:val="Normal"/>
        <w:spacing w:lineRule="auto" w:line="264"/>
        <w:rPr>
          <w:rFonts w:ascii="Arial" w:hAnsi="Arial" w:eastAsia="Calibri" w:cs="Arial"/>
          <w:sz w:val="22"/>
          <w:szCs w:val="22"/>
          <w:lang w:eastAsia="en-US"/>
        </w:rPr>
      </w:pPr>
      <w:r>
        <w:rPr>
          <w:rFonts w:eastAsia="Calibri" w:cs="Arial" w:ascii="Arial" w:hAnsi="Arial"/>
          <w:sz w:val="22"/>
          <w:szCs w:val="22"/>
          <w:lang w:eastAsia="en-US"/>
        </w:rPr>
      </w:r>
    </w:p>
    <w:p>
      <w:pPr>
        <w:pStyle w:val="Normal"/>
        <w:rPr/>
      </w:pPr>
      <w:r>
        <w:rPr>
          <w:rFonts w:eastAsia="Calibri" w:cs="Century Gothic" w:ascii="Century Gothic" w:hAnsi="Century Gothic"/>
          <w:b/>
          <w:bCs/>
          <w:szCs w:val="24"/>
        </w:rPr>
        <w:t>Position:</w:t>
      </w:r>
      <w:r>
        <w:rPr>
          <w:rFonts w:eastAsia="Calibri" w:cs="Century Gothic" w:ascii="Century Gothic" w:hAnsi="Century Gothic"/>
          <w:bCs/>
          <w:szCs w:val="24"/>
        </w:rPr>
        <w:t xml:space="preserve"> </w:t>
      </w:r>
      <w:r>
        <w:rPr>
          <w:rFonts w:eastAsia="Calibri" w:cs="Arial" w:ascii="Arial" w:hAnsi="Arial"/>
          <w:szCs w:val="24"/>
          <w:lang w:eastAsia="en-US"/>
        </w:rPr>
        <w:t>Pastoral Care and Designated Safeguarding Lead</w:t>
      </w:r>
    </w:p>
    <w:p>
      <w:pPr>
        <w:pStyle w:val="Normal"/>
        <w:rPr>
          <w:rFonts w:ascii="Century Gothic" w:hAnsi="Century Gothic" w:eastAsia="Calibri" w:cs="Century Gothic"/>
          <w:bCs/>
          <w:szCs w:val="24"/>
        </w:rPr>
      </w:pPr>
      <w:r>
        <w:rPr>
          <w:rFonts w:eastAsia="Calibri" w:cs="Century Gothic" w:ascii="Century Gothic" w:hAnsi="Century Gothic"/>
          <w:bCs/>
          <w:szCs w:val="24"/>
        </w:rPr>
      </w:r>
    </w:p>
    <w:p>
      <w:pPr>
        <w:pStyle w:val="Normal"/>
        <w:rPr/>
      </w:pPr>
      <w:r>
        <w:rPr>
          <w:rFonts w:eastAsia="Calibri" w:cs="Century Gothic" w:ascii="Century Gothic" w:hAnsi="Century Gothic"/>
          <w:b/>
          <w:bCs/>
          <w:szCs w:val="24"/>
        </w:rPr>
        <w:t>Grade:</w:t>
      </w:r>
      <w:r>
        <w:rPr>
          <w:rFonts w:eastAsia="Calibri" w:cs="Century Gothic" w:ascii="Century Gothic" w:hAnsi="Century Gothic"/>
          <w:bCs/>
          <w:szCs w:val="24"/>
        </w:rPr>
        <w:t xml:space="preserve"> </w:t>
      </w:r>
      <w:r>
        <w:rPr>
          <w:rFonts w:eastAsia="Calibri" w:cs="Arial" w:ascii="Arial" w:hAnsi="Arial"/>
          <w:sz w:val="22"/>
          <w:szCs w:val="22"/>
          <w:lang w:eastAsia="en-US"/>
        </w:rPr>
        <w:t>F</w:t>
      </w:r>
    </w:p>
    <w:p>
      <w:pPr>
        <w:pStyle w:val="Normal"/>
        <w:rPr>
          <w:rFonts w:ascii="Century Gothic" w:hAnsi="Century Gothic" w:eastAsia="Calibri" w:cs="Century Gothic"/>
          <w:bCs/>
          <w:szCs w:val="24"/>
        </w:rPr>
      </w:pPr>
      <w:r>
        <w:rPr>
          <w:rFonts w:eastAsia="Calibri" w:cs="Century Gothic" w:ascii="Century Gothic" w:hAnsi="Century Gothic"/>
          <w:bCs/>
          <w:szCs w:val="24"/>
        </w:rPr>
      </w:r>
    </w:p>
    <w:p>
      <w:pPr>
        <w:pStyle w:val="Normal"/>
        <w:rPr/>
      </w:pPr>
      <w:r>
        <w:rPr>
          <w:rFonts w:eastAsia="Calibri" w:cs="Century Gothic" w:ascii="Century Gothic" w:hAnsi="Century Gothic"/>
          <w:b/>
          <w:bCs/>
          <w:szCs w:val="24"/>
        </w:rPr>
        <w:t>Actual Salary:</w:t>
      </w:r>
      <w:r>
        <w:rPr/>
        <w:t xml:space="preserve"> </w:t>
      </w:r>
      <w:r>
        <w:rPr>
          <w:rFonts w:cs="Arial" w:ascii="Arial" w:hAnsi="Arial"/>
          <w:sz w:val="22"/>
          <w:szCs w:val="22"/>
        </w:rPr>
        <w:t>£28,147 - £31,243 per annum</w:t>
      </w:r>
    </w:p>
    <w:p>
      <w:pPr>
        <w:pStyle w:val="Normal"/>
        <w:rPr>
          <w:rFonts w:eastAsia="Calibri"/>
        </w:rPr>
      </w:pPr>
      <w:r>
        <w:rPr>
          <w:rFonts w:eastAsia="Century Gothic" w:cs="Century Gothic" w:ascii="Century Gothic" w:hAnsi="Century Gothic"/>
          <w:bCs/>
          <w:szCs w:val="24"/>
        </w:rPr>
        <w:t xml:space="preserve"> </w:t>
      </w:r>
    </w:p>
    <w:p>
      <w:pPr>
        <w:pStyle w:val="Normal"/>
        <w:rPr/>
      </w:pPr>
      <w:r>
        <w:rPr>
          <w:rFonts w:eastAsia="Calibri" w:cs="Century Gothic" w:ascii="Century Gothic" w:hAnsi="Century Gothic"/>
          <w:b/>
          <w:bCs/>
          <w:szCs w:val="24"/>
        </w:rPr>
        <w:t xml:space="preserve">Hours: </w:t>
      </w:r>
      <w:r>
        <w:rPr>
          <w:rFonts w:eastAsia="Calibri" w:cs="Arial" w:ascii="Arial" w:hAnsi="Arial"/>
          <w:sz w:val="22"/>
          <w:szCs w:val="22"/>
          <w:lang w:eastAsia="en-US"/>
        </w:rPr>
        <w:t xml:space="preserve">37 hours a week, Mon – Fri, Term Time Plus 10 days </w:t>
      </w:r>
    </w:p>
    <w:p>
      <w:pPr>
        <w:pStyle w:val="Normal"/>
        <w:rPr>
          <w:rFonts w:eastAsia="Calibri"/>
        </w:rPr>
      </w:pPr>
      <w:r>
        <w:rPr>
          <w:rFonts w:eastAsia="Century Gothic" w:cs="Century Gothic" w:ascii="Century Gothic" w:hAnsi="Century Gothic"/>
          <w:bCs/>
          <w:szCs w:val="24"/>
        </w:rPr>
        <w:t xml:space="preserve"> </w:t>
      </w:r>
    </w:p>
    <w:p>
      <w:pPr>
        <w:pStyle w:val="Normal"/>
        <w:rPr/>
      </w:pPr>
      <w:r>
        <w:rPr>
          <w:rFonts w:eastAsia="Calibri" w:cs="Century Gothic" w:ascii="Century Gothic" w:hAnsi="Century Gothic"/>
          <w:b/>
          <w:bCs/>
          <w:szCs w:val="24"/>
        </w:rPr>
        <w:t>Responsible to:</w:t>
      </w:r>
      <w:r>
        <w:rPr>
          <w:rFonts w:eastAsia="Calibri" w:cs="Century Gothic" w:ascii="Century Gothic" w:hAnsi="Century Gothic"/>
          <w:bCs/>
          <w:szCs w:val="24"/>
        </w:rPr>
        <w:t xml:space="preserve"> </w:t>
      </w:r>
      <w:r>
        <w:rPr>
          <w:rFonts w:eastAsia="Calibri" w:cs="Arial" w:ascii="Arial" w:hAnsi="Arial"/>
          <w:sz w:val="22"/>
          <w:szCs w:val="22"/>
          <w:lang w:eastAsia="en-US"/>
        </w:rPr>
        <w:t>Headteache</w:t>
      </w:r>
      <w:r>
        <w:rPr>
          <w:rFonts w:eastAsia="Calibri" w:cs="Century Gothic" w:ascii="Century Gothic" w:hAnsi="Century Gothic"/>
          <w:bCs/>
          <w:szCs w:val="24"/>
        </w:rPr>
        <w:t>r</w:t>
      </w:r>
    </w:p>
    <w:p>
      <w:pPr>
        <w:pStyle w:val="Normal"/>
        <w:rPr>
          <w:rFonts w:ascii="Century Gothic" w:hAnsi="Century Gothic" w:eastAsia="Calibri" w:cs="Century Gothic"/>
          <w:b/>
          <w:b/>
          <w:bCs/>
          <w:szCs w:val="24"/>
        </w:rPr>
      </w:pPr>
      <w:r>
        <w:rPr>
          <w:rFonts w:eastAsia="Calibri" w:cs="Century Gothic" w:ascii="Century Gothic" w:hAnsi="Century Gothic"/>
          <w:b/>
          <w:bCs/>
          <w:szCs w:val="24"/>
        </w:rPr>
      </w:r>
    </w:p>
    <w:p>
      <w:pPr>
        <w:pStyle w:val="Normal"/>
        <w:rPr>
          <w:rFonts w:ascii="Arial" w:hAnsi="Arial" w:eastAsia="Calibri" w:cs="Arial"/>
          <w:sz w:val="22"/>
          <w:szCs w:val="22"/>
          <w:lang w:eastAsia="en-US"/>
        </w:rPr>
      </w:pPr>
      <w:r>
        <w:rPr>
          <w:rFonts w:eastAsia="Calibri" w:cs="Arial" w:ascii="Arial" w:hAnsi="Arial"/>
          <w:sz w:val="22"/>
          <w:szCs w:val="22"/>
          <w:lang w:eastAsia="en-US"/>
        </w:rPr>
        <w:t>Moorgate Primary School is committed to safeguarding and promoting the welfare of children and young people and expects all staff to share this commitment.</w:t>
      </w:r>
    </w:p>
    <w:p>
      <w:pPr>
        <w:pStyle w:val="Normal"/>
        <w:rPr>
          <w:rFonts w:ascii="Century Gothic" w:hAnsi="Century Gothic" w:eastAsia="Calibri" w:cs="Century Gothic"/>
          <w:bCs/>
          <w:szCs w:val="24"/>
        </w:rPr>
      </w:pPr>
      <w:r>
        <w:rPr>
          <w:rFonts w:eastAsia="Calibri" w:cs="Century Gothic" w:ascii="Century Gothic" w:hAnsi="Century Gothic"/>
          <w:bCs/>
          <w:szCs w:val="24"/>
        </w:rPr>
      </w:r>
    </w:p>
    <w:p>
      <w:pPr>
        <w:pStyle w:val="Normal"/>
        <w:rPr>
          <w:rFonts w:ascii="Century Gothic" w:hAnsi="Century Gothic" w:eastAsia="Calibri" w:cs="Century Gothic"/>
          <w:b/>
          <w:b/>
          <w:bCs/>
          <w:szCs w:val="24"/>
        </w:rPr>
      </w:pPr>
      <w:r>
        <w:rPr>
          <w:rFonts w:eastAsia="Calibri" w:cs="Century Gothic" w:ascii="Century Gothic" w:hAnsi="Century Gothic"/>
          <w:b/>
          <w:bCs/>
          <w:szCs w:val="24"/>
        </w:rPr>
        <w:t>Purpose of the Job:</w:t>
      </w:r>
    </w:p>
    <w:p>
      <w:pPr>
        <w:pStyle w:val="Normal"/>
        <w:rPr>
          <w:rFonts w:ascii="Century Gothic" w:hAnsi="Century Gothic" w:eastAsia="Calibri" w:cs="Century Gothic"/>
          <w:b/>
          <w:b/>
          <w:bCs/>
          <w:szCs w:val="24"/>
        </w:rPr>
      </w:pPr>
      <w:r>
        <w:rPr>
          <w:rFonts w:eastAsia="Calibri" w:cs="Century Gothic" w:ascii="Century Gothic" w:hAnsi="Century Gothic"/>
          <w:b/>
          <w:bCs/>
          <w:szCs w:val="24"/>
        </w:rPr>
      </w:r>
    </w:p>
    <w:p>
      <w:pPr>
        <w:pStyle w:val="Normal"/>
        <w:rPr>
          <w:rFonts w:ascii="Arial" w:hAnsi="Arial" w:eastAsia="Calibri" w:cs="Arial"/>
          <w:sz w:val="22"/>
          <w:szCs w:val="22"/>
          <w:lang w:eastAsia="en-US"/>
        </w:rPr>
      </w:pPr>
      <w:r>
        <w:rPr>
          <w:rFonts w:eastAsia="Calibri" w:cs="Arial" w:ascii="Arial" w:hAnsi="Arial"/>
          <w:sz w:val="22"/>
          <w:szCs w:val="22"/>
          <w:lang w:eastAsia="en-US"/>
        </w:rPr>
        <w:t>As a member of staff with responsibility for safeguarding: To assist the Headteacher by taking the lead on the development of safeguarding and child protection policies, training and procedures and guidance for Moorgate Primary School and to coordinate referrals, arranging action and reviewing services for children and families.</w:t>
      </w:r>
    </w:p>
    <w:p>
      <w:pPr>
        <w:pStyle w:val="Normal"/>
        <w:rPr>
          <w:rFonts w:ascii="Arial" w:hAnsi="Arial" w:eastAsia="Calibri" w:cs="Arial"/>
          <w:sz w:val="22"/>
          <w:szCs w:val="22"/>
          <w:lang w:eastAsia="en-US"/>
        </w:rPr>
      </w:pPr>
      <w:r>
        <w:rPr>
          <w:rFonts w:eastAsia="Calibri" w:cs="Arial" w:ascii="Arial" w:hAnsi="Arial"/>
          <w:sz w:val="22"/>
          <w:szCs w:val="22"/>
          <w:lang w:eastAsia="en-US"/>
        </w:rPr>
      </w:r>
    </w:p>
    <w:p>
      <w:pPr>
        <w:pStyle w:val="Normal"/>
        <w:rPr>
          <w:rFonts w:ascii="Arial" w:hAnsi="Arial" w:eastAsia="Calibri" w:cs="Arial"/>
          <w:sz w:val="22"/>
          <w:szCs w:val="22"/>
          <w:lang w:eastAsia="en-US"/>
        </w:rPr>
      </w:pPr>
      <w:r>
        <w:rPr>
          <w:rFonts w:eastAsia="Calibri" w:cs="Arial" w:ascii="Arial" w:hAnsi="Arial"/>
          <w:sz w:val="22"/>
          <w:szCs w:val="22"/>
          <w:lang w:eastAsia="en-US"/>
        </w:rPr>
        <w:t>To work with the SLT to ensure there are policies, procedures, systems, structures, resources and personnel in place to promote the welfare and protection of children at Moorgate Primary School and to support vulnerable families. Actively work jointly with parents / carers and other agencies through joint planning, training and monitoring of their arrangements for the safeguarding of children. To work with other staff to secure good outcomes for disadvantaged families and to assist teaching staff in narrowing the gap between pupil premium and non-pupil premium children.</w:t>
      </w:r>
    </w:p>
    <w:p>
      <w:pPr>
        <w:pStyle w:val="Normal"/>
        <w:rPr>
          <w:rFonts w:ascii="Arial" w:hAnsi="Arial" w:eastAsia="Calibri" w:cs="Arial"/>
          <w:sz w:val="22"/>
          <w:szCs w:val="22"/>
          <w:lang w:eastAsia="en-US"/>
        </w:rPr>
      </w:pPr>
      <w:r>
        <w:rPr>
          <w:rFonts w:eastAsia="Calibri" w:cs="Arial" w:ascii="Arial" w:hAnsi="Arial"/>
          <w:sz w:val="22"/>
          <w:szCs w:val="22"/>
          <w:lang w:eastAsia="en-US"/>
        </w:rPr>
      </w:r>
    </w:p>
    <w:p>
      <w:pPr>
        <w:pStyle w:val="Normal"/>
        <w:rPr/>
      </w:pPr>
      <w:r>
        <w:rPr>
          <w:rFonts w:eastAsia="Calibri" w:cs="Arial" w:ascii="Arial" w:hAnsi="Arial"/>
          <w:sz w:val="22"/>
          <w:szCs w:val="22"/>
          <w:lang w:eastAsia="en-US"/>
        </w:rPr>
        <w:t>To have a legal responsibility for dealing with safeguarding, child protection issues and looked after children. Providing advice and support to staff, liaising with the Local Authority and working with a range of other agencies</w:t>
      </w:r>
      <w:r>
        <w:rPr>
          <w:rFonts w:eastAsia="Calibri" w:cs="Century Gothic" w:ascii="Century Gothic" w:hAnsi="Century Gothic"/>
          <w:szCs w:val="24"/>
        </w:rPr>
        <w:t>.</w:t>
      </w:r>
    </w:p>
    <w:p>
      <w:pPr>
        <w:pStyle w:val="Normal"/>
        <w:rPr>
          <w:rFonts w:ascii="Century Gothic" w:hAnsi="Century Gothic" w:eastAsia="Calibri" w:cs="Century Gothic"/>
          <w:szCs w:val="24"/>
        </w:rPr>
      </w:pPr>
      <w:r>
        <w:rPr>
          <w:rFonts w:eastAsia="Calibri" w:cs="Century Gothic" w:ascii="Century Gothic" w:hAnsi="Century Gothic"/>
          <w:szCs w:val="24"/>
        </w:rPr>
      </w:r>
    </w:p>
    <w:p>
      <w:pPr>
        <w:pStyle w:val="Normal"/>
        <w:rPr>
          <w:rFonts w:ascii="Century Gothic" w:hAnsi="Century Gothic" w:eastAsia="Calibri" w:cs="Century Gothic"/>
          <w:szCs w:val="24"/>
        </w:rPr>
      </w:pPr>
      <w:r>
        <w:rPr>
          <w:rFonts w:eastAsia="Calibri" w:cs="Century Gothic" w:ascii="Century Gothic" w:hAnsi="Century Gothic"/>
          <w:szCs w:val="24"/>
        </w:rPr>
        <mc:AlternateContent>
          <mc:Choice Requires="wps">
            <w:drawing>
              <wp:anchor behindDoc="1" distT="0" distB="0" distL="114935" distR="114935" simplePos="0" locked="0" layoutInCell="1" allowOverlap="1" relativeHeight="10">
                <wp:simplePos x="0" y="0"/>
                <wp:positionH relativeFrom="column">
                  <wp:posOffset>-454660</wp:posOffset>
                </wp:positionH>
                <wp:positionV relativeFrom="paragraph">
                  <wp:posOffset>-616585</wp:posOffset>
                </wp:positionV>
                <wp:extent cx="7062470" cy="1334135"/>
                <wp:effectExtent l="0" t="0" r="0" b="0"/>
                <wp:wrapNone/>
                <wp:docPr id="1" name="Rectangle 2"/>
                <a:graphic xmlns:a="http://schemas.openxmlformats.org/drawingml/2006/main">
                  <a:graphicData uri="http://schemas.microsoft.com/office/word/2010/wordprocessingShape">
                    <wps:wsp>
                      <wps:cNvSpPr/>
                      <wps:spPr>
                        <a:xfrm>
                          <a:off x="0" y="0"/>
                          <a:ext cx="7061760" cy="1333440"/>
                        </a:xfrm>
                        <a:prstGeom prst="rect">
                          <a:avLst/>
                        </a:prstGeom>
                        <a:solidFill>
                          <a:srgbClr val="ffffff"/>
                        </a:solidFill>
                        <a:ln w="12600">
                          <a:solidFill>
                            <a:srgbClr val="ffffff"/>
                          </a:solidFill>
                          <a:miter/>
                        </a:ln>
                      </wps:spPr>
                      <wps:style>
                        <a:lnRef idx="0"/>
                        <a:fillRef idx="0"/>
                        <a:effectRef idx="0"/>
                        <a:fontRef idx="minor"/>
                      </wps:style>
                      <wps:bodyPr/>
                    </wps:wsp>
                  </a:graphicData>
                </a:graphic>
              </wp:anchor>
            </w:drawing>
          </mc:Choice>
          <mc:Fallback>
            <w:pict>
              <v:rect id="shape_0" ID="Rectangle 2" fillcolor="white" stroked="t" style="position:absolute;margin-left:-35.8pt;margin-top:-48.55pt;width:556pt;height:104.95pt">
                <w10:wrap type="none"/>
                <v:fill o:detectmouseclick="t" type="solid" color2="black"/>
                <v:stroke color="white" weight="12600" joinstyle="miter" endcap="flat"/>
              </v:rect>
            </w:pict>
          </mc:Fallback>
        </mc:AlternateContent>
      </w:r>
    </w:p>
    <w:p>
      <w:pPr>
        <w:pStyle w:val="Normal"/>
        <w:rPr>
          <w:rFonts w:ascii="Century Gothic" w:hAnsi="Century Gothic" w:eastAsia="Calibri" w:cs="Century Gothic"/>
          <w:b/>
          <w:b/>
          <w:bCs/>
          <w:szCs w:val="24"/>
        </w:rPr>
      </w:pPr>
      <w:r>
        <w:rPr>
          <w:rFonts w:eastAsia="Calibri" w:cs="Century Gothic" w:ascii="Century Gothic" w:hAnsi="Century Gothic"/>
          <w:b/>
          <w:bCs/>
          <w:szCs w:val="24"/>
        </w:rPr>
        <w:t>Main Duties and Responsibilities:</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To make referrals to other agencies</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To implement Moorgate Primary School/DFE safeguarding/child protection/ looked after children/ attendance policy and procedures.</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Encourage good practice by promoting and championing the safeguarding/child protection/ looked after children policy and procedures and ensuring all staff have access to and understand them.</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Respond appropriately to disclosures or concerns which relate to the well-being of a child.</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To maintain accurate, confidential and up-to-date documentation on all cases of safeguarding and child protection and report where required.</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To ensure parents see copies of the safeguarding policy to avoid potential conflict later.</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To ensure that vulnerable pupils who are victims of abuse are supported appropriately and sensitively and that all actions assigned to Moorgate Primary from planning and interventions meetings are successfully carried out and monitored.</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To collate and produce statistical information with regards to safeguarding, looked after children, attendance and pupil groups.</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To work with identified pupil premium group pupils and their families to narrow the attainment gap.</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To plan and assist on safeguarding training within school.</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To induct new members of staff with regard to the school safeguarding policies and procedures.</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To ensure that all staff are aware of their responsibility to challenge behaviour which breaches the Guidance for Safer Working Practice (Code of Conduct).</w:t>
      </w:r>
    </w:p>
    <w:p>
      <w:pPr>
        <w:pStyle w:val="ListParagraph"/>
        <w:rPr>
          <w:rFonts w:ascii="Century Gothic" w:hAnsi="Century Gothic" w:eastAsia="Calibri" w:cs="Century Gothic"/>
          <w:szCs w:val="24"/>
        </w:rPr>
      </w:pPr>
      <w:r>
        <w:rPr>
          <w:rFonts w:eastAsia="Calibri" w:cs="Century Gothic" w:ascii="Century Gothic" w:hAnsi="Century Gothic"/>
          <w:szCs w:val="24"/>
        </w:rPr>
      </w:r>
    </w:p>
    <w:p>
      <w:pPr>
        <w:pStyle w:val="Normal"/>
        <w:rPr>
          <w:rFonts w:ascii="Century Gothic" w:hAnsi="Century Gothic" w:eastAsia="Calibri" w:cs="Century Gothic"/>
          <w:b/>
          <w:b/>
          <w:bCs/>
          <w:szCs w:val="24"/>
        </w:rPr>
      </w:pPr>
      <w:r>
        <w:rPr>
          <w:rFonts w:eastAsia="Calibri" w:cs="Century Gothic" w:ascii="Century Gothic" w:hAnsi="Century Gothic"/>
          <w:b/>
          <w:bCs/>
          <w:szCs w:val="24"/>
        </w:rPr>
        <w:t>Accountabilities</w:t>
      </w:r>
    </w:p>
    <w:p>
      <w:pPr>
        <w:pStyle w:val="Normal"/>
        <w:rPr>
          <w:rFonts w:ascii="Century Gothic" w:hAnsi="Century Gothic" w:eastAsia="Calibri" w:cs="Century Gothic"/>
          <w:szCs w:val="24"/>
        </w:rPr>
      </w:pPr>
      <w:r>
        <w:rPr>
          <w:rFonts w:eastAsia="Calibri" w:cs="Century Gothic" w:ascii="Century Gothic" w:hAnsi="Century Gothic"/>
          <w:szCs w:val="24"/>
        </w:rPr>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Attend and participate in Child Protection Conferences and Planning and Review meetings whilst working closely with colleagues in Children’s Services as required, some of which may take place out of normal working hours.</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To maintain confidentiality at all times.</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From referrals, develop a register of students who are ‘At Child Action Level’ or have child protection plans</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To adhere to the Schools’ policies as outlined in the staff handbook.</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To ensure the school’s safeguarding policy is updated and reviewed annually.</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As the Designated Safeguarding Lead, to refer cases of suspected abuse to the local authority children’s social care as required.</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Support staff who make referrals to local authority children’s social care.</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Refer cases to the Channel programme where there is a radicalisation concern as required.</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Support staff who make referrals to the Channel programme.</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To monitor attendance and carry out daily attendance procedures making referrals where necessary.</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Refer cases where a crime may have been committed to the Police as required.</w:t>
      </w:r>
    </w:p>
    <w:p>
      <w:pPr>
        <w:pStyle w:val="ListParagraph"/>
        <w:numPr>
          <w:ilvl w:val="0"/>
          <w:numId w:val="1"/>
        </w:numPr>
        <w:rPr/>
      </w:pPr>
      <w:r>
        <w:rPr/>
        <mc:AlternateContent>
          <mc:Choice Requires="wps">
            <w:drawing>
              <wp:anchor behindDoc="1" distT="0" distB="0" distL="114935" distR="114935" simplePos="0" locked="0" layoutInCell="1" allowOverlap="1" relativeHeight="11">
                <wp:simplePos x="0" y="0"/>
                <wp:positionH relativeFrom="column">
                  <wp:posOffset>-464185</wp:posOffset>
                </wp:positionH>
                <wp:positionV relativeFrom="paragraph">
                  <wp:posOffset>-635635</wp:posOffset>
                </wp:positionV>
                <wp:extent cx="7153910" cy="1467485"/>
                <wp:effectExtent l="0" t="0" r="0" b="0"/>
                <wp:wrapNone/>
                <wp:docPr id="2" name="Rectangle 4"/>
                <a:graphic xmlns:a="http://schemas.openxmlformats.org/drawingml/2006/main">
                  <a:graphicData uri="http://schemas.microsoft.com/office/word/2010/wordprocessingShape">
                    <wps:wsp>
                      <wps:cNvSpPr/>
                      <wps:spPr>
                        <a:xfrm>
                          <a:off x="0" y="0"/>
                          <a:ext cx="7153200" cy="1467000"/>
                        </a:xfrm>
                        <a:prstGeom prst="rect">
                          <a:avLst/>
                        </a:prstGeom>
                        <a:solidFill>
                          <a:srgbClr val="ffffff"/>
                        </a:solidFill>
                        <a:ln w="12600">
                          <a:solidFill>
                            <a:srgbClr val="ffffff"/>
                          </a:solidFill>
                          <a:miter/>
                        </a:ln>
                      </wps:spPr>
                      <wps:style>
                        <a:lnRef idx="0"/>
                        <a:fillRef idx="0"/>
                        <a:effectRef idx="0"/>
                        <a:fontRef idx="minor"/>
                      </wps:style>
                      <wps:bodyPr/>
                    </wps:wsp>
                  </a:graphicData>
                </a:graphic>
              </wp:anchor>
            </w:drawing>
          </mc:Choice>
          <mc:Fallback>
            <w:pict>
              <v:rect id="shape_0" ID="Rectangle 4" fillcolor="white" stroked="t" style="position:absolute;margin-left:-36.55pt;margin-top:-50.05pt;width:563.2pt;height:115.45pt">
                <w10:wrap type="none"/>
                <v:fill o:detectmouseclick="t" type="solid" color2="black"/>
                <v:stroke color="white" weight="12600" joinstyle="miter" endcap="flat"/>
              </v:rect>
            </w:pict>
          </mc:Fallback>
        </mc:AlternateConten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To support the Headteacher to ensure compliance with statutory duties for safeguarding and keeping children safe in school.To work with the Headteacher and SLT to monitor priorities for vulnerable children.</w:t>
      </w:r>
    </w:p>
    <w:p>
      <w:pPr>
        <w:pStyle w:val="Normal"/>
        <w:rPr>
          <w:rFonts w:ascii="Century Gothic" w:hAnsi="Century Gothic" w:eastAsia="Calibri" w:cs="Century Gothic"/>
          <w:szCs w:val="24"/>
        </w:rPr>
      </w:pPr>
      <w:r>
        <w:rPr>
          <w:rFonts w:eastAsia="Calibri" w:cs="Century Gothic" w:ascii="Century Gothic" w:hAnsi="Century Gothic"/>
          <w:szCs w:val="24"/>
        </w:rPr>
      </w:r>
    </w:p>
    <w:p>
      <w:pPr>
        <w:pStyle w:val="Normal"/>
        <w:rPr>
          <w:rFonts w:ascii="Century Gothic" w:hAnsi="Century Gothic" w:eastAsia="Calibri" w:cs="Century Gothic"/>
          <w:b/>
          <w:b/>
          <w:bCs/>
          <w:szCs w:val="24"/>
        </w:rPr>
      </w:pPr>
      <w:r>
        <w:rPr>
          <w:rFonts w:eastAsia="Calibri" w:cs="Century Gothic" w:ascii="Century Gothic" w:hAnsi="Century Gothic"/>
          <w:b/>
          <w:bCs/>
          <w:szCs w:val="24"/>
        </w:rPr>
        <w:t>Reporting Concerns</w:t>
      </w:r>
    </w:p>
    <w:p>
      <w:pPr>
        <w:pStyle w:val="Normal"/>
        <w:rPr>
          <w:rFonts w:ascii="Century Gothic" w:hAnsi="Century Gothic" w:eastAsia="Calibri" w:cs="Century Gothic"/>
          <w:b/>
          <w:b/>
          <w:bCs/>
          <w:szCs w:val="24"/>
        </w:rPr>
      </w:pPr>
      <w:r>
        <w:rPr>
          <w:rFonts w:eastAsia="Calibri" w:cs="Century Gothic" w:ascii="Century Gothic" w:hAnsi="Century Gothic"/>
          <w:b/>
          <w:bCs/>
          <w:szCs w:val="24"/>
        </w:rPr>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Work with school staff to ensure it is understood how to:</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Recognise how to identify signs of abuse and when to make a referral.</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Respond appropriately to disclosures or concerns relating to the well-being of a child.</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Refer allegations or cases of suspected abuse to the relevant investigating agencies, ensuring they have access to the most relevant up to date information.</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Liaise with the Headteacher to inform them of any issues and ongoing investigations.</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Liaise with the Governor with safeguarding and inclusion responsibilities.</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Ensure that relevant, detailed and accurate written records of referrals/concerns are kept and that these are stored securely.</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When pupils move school and start at Moorgate, ensure their safeguarding file is sent to the new establishment immediately and securely.</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Refer cases to the Channel programme where there is a radicalisation concern as required.</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Support staff who make referrals to the Channel programme.</w:t>
      </w:r>
    </w:p>
    <w:p>
      <w:pPr>
        <w:pStyle w:val="ListParagraph"/>
        <w:numPr>
          <w:ilvl w:val="0"/>
          <w:numId w:val="1"/>
        </w:numPr>
        <w:rPr/>
      </w:pPr>
      <w:r>
        <w:rPr>
          <w:rFonts w:eastAsia="Calibri" w:cs="Arial" w:ascii="Arial" w:hAnsi="Arial"/>
          <w:b/>
          <w:bCs/>
          <w:sz w:val="22"/>
          <w:szCs w:val="22"/>
          <w:lang w:eastAsia="en-US"/>
        </w:rPr>
        <w:t>It is not the role of the DSL to investigate allegations of abuse or neglect by members of staff working or volunteering with children in school.</w:t>
      </w:r>
      <w:r>
        <w:rPr>
          <w:rFonts w:eastAsia="Calibri" w:cs="Century Gothic" w:ascii="Century Gothic" w:hAnsi="Century Gothic"/>
          <w:b/>
          <w:bCs/>
          <w:i/>
          <w:iCs/>
          <w:szCs w:val="24"/>
        </w:rPr>
        <w:t xml:space="preserve"> </w:t>
      </w:r>
      <w:r>
        <w:rPr>
          <w:rFonts w:eastAsia="Calibri" w:cs="Arial" w:ascii="Arial" w:hAnsi="Arial"/>
          <w:sz w:val="22"/>
          <w:szCs w:val="22"/>
          <w:lang w:eastAsia="en-US"/>
        </w:rPr>
        <w:t>This falls to the Headteacher or to the Chair of Governors where the allegation is against the Headteacher.</w:t>
      </w:r>
    </w:p>
    <w:p>
      <w:pPr>
        <w:pStyle w:val="Normal"/>
        <w:rPr>
          <w:rFonts w:ascii="Century Gothic" w:hAnsi="Century Gothic" w:eastAsia="Calibri" w:cs="Century Gothic"/>
          <w:b/>
          <w:b/>
          <w:bCs/>
          <w:i/>
          <w:i/>
          <w:iCs/>
          <w:szCs w:val="24"/>
        </w:rPr>
      </w:pPr>
      <w:r>
        <w:rPr>
          <w:rFonts w:eastAsia="Calibri" w:cs="Century Gothic" w:ascii="Century Gothic" w:hAnsi="Century Gothic"/>
          <w:b/>
          <w:bCs/>
          <w:i/>
          <w:iCs/>
          <w:szCs w:val="24"/>
        </w:rPr>
      </w:r>
    </w:p>
    <w:p>
      <w:pPr>
        <w:pStyle w:val="Normal"/>
        <w:rPr>
          <w:rFonts w:ascii="Century Gothic" w:hAnsi="Century Gothic" w:eastAsia="Calibri" w:cs="Century Gothic"/>
          <w:b/>
          <w:b/>
          <w:bCs/>
          <w:szCs w:val="24"/>
        </w:rPr>
      </w:pPr>
      <w:r>
        <w:rPr>
          <w:rFonts w:eastAsia="Calibri" w:cs="Century Gothic" w:ascii="Century Gothic" w:hAnsi="Century Gothic"/>
          <w:b/>
          <w:bCs/>
          <w:szCs w:val="24"/>
        </w:rPr>
        <w:t>Multi Agency Working:</w:t>
      </w:r>
    </w:p>
    <w:p>
      <w:pPr>
        <w:pStyle w:val="Normal"/>
        <w:rPr>
          <w:rFonts w:ascii="Century Gothic" w:hAnsi="Century Gothic" w:eastAsia="Calibri" w:cs="Century Gothic"/>
          <w:b/>
          <w:b/>
          <w:bCs/>
          <w:szCs w:val="24"/>
        </w:rPr>
      </w:pPr>
      <w:r>
        <w:rPr>
          <w:rFonts w:eastAsia="Calibri" w:cs="Century Gothic" w:ascii="Century Gothic" w:hAnsi="Century Gothic"/>
          <w:b/>
          <w:bCs/>
          <w:szCs w:val="24"/>
        </w:rPr>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Ensure that pupils who are victims of abuse are supported appropriately and sensitively and that all actions from planning and intervention meetings are carried out and monitored.</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Attend and contribute effectively to Child Action meetings, Child Protection conferences, planning and review meetings; including those taking place out of normal working hours.</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Liaise and coordinate with colleagues and outside organisations to provide Early Help as soon as a problem emerges, at any point in a child or young person’s life working with the Early Help Hub Partnerships and referring to the Early Help Allocation groups where necessary. Acting as Lead Professional as appropriate</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Ensure that actions resulting from meetings are SMART and that they are carried out in a coordinated way; making the difference which was anticipated.</w:t>
      </w:r>
    </w:p>
    <w:p>
      <w:pPr>
        <w:pStyle w:val="Normal"/>
        <w:rPr>
          <w:rFonts w:ascii="Century Gothic" w:hAnsi="Century Gothic" w:eastAsia="Calibri" w:cs="Century Gothic"/>
          <w:b/>
          <w:b/>
          <w:bCs/>
          <w:szCs w:val="24"/>
        </w:rPr>
      </w:pPr>
      <w:r>
        <w:rPr>
          <w:rFonts w:eastAsia="Calibri" w:cs="Century Gothic" w:ascii="Century Gothic" w:hAnsi="Century Gothic"/>
          <w:b/>
          <w:bCs/>
          <w:szCs w:val="24"/>
        </w:rPr>
      </w:r>
    </w:p>
    <w:p>
      <w:pPr>
        <w:pStyle w:val="Normal"/>
        <w:rPr>
          <w:rFonts w:ascii="Century Gothic" w:hAnsi="Century Gothic" w:eastAsia="Calibri" w:cs="Century Gothic"/>
          <w:b/>
          <w:b/>
          <w:bCs/>
          <w:szCs w:val="24"/>
        </w:rPr>
      </w:pPr>
      <w:r>
        <w:rPr>
          <w:rFonts w:eastAsia="Calibri" w:cs="Century Gothic" w:ascii="Century Gothic" w:hAnsi="Century Gothic"/>
          <w:b/>
          <w:bCs/>
          <w:szCs w:val="24"/>
        </w:rPr>
        <mc:AlternateContent>
          <mc:Choice Requires="wps">
            <w:drawing>
              <wp:anchor behindDoc="1" distT="0" distB="0" distL="114935" distR="114935" simplePos="0" locked="0" layoutInCell="1" allowOverlap="1" relativeHeight="12">
                <wp:simplePos x="0" y="0"/>
                <wp:positionH relativeFrom="column">
                  <wp:posOffset>-521335</wp:posOffset>
                </wp:positionH>
                <wp:positionV relativeFrom="paragraph">
                  <wp:posOffset>-530860</wp:posOffset>
                </wp:positionV>
                <wp:extent cx="7129145" cy="1248410"/>
                <wp:effectExtent l="0" t="0" r="0" b="0"/>
                <wp:wrapNone/>
                <wp:docPr id="3" name="Rectangle 5"/>
                <a:graphic xmlns:a="http://schemas.openxmlformats.org/drawingml/2006/main">
                  <a:graphicData uri="http://schemas.microsoft.com/office/word/2010/wordprocessingShape">
                    <wps:wsp>
                      <wps:cNvSpPr/>
                      <wps:spPr>
                        <a:xfrm>
                          <a:off x="0" y="0"/>
                          <a:ext cx="7128360" cy="1247760"/>
                        </a:xfrm>
                        <a:prstGeom prst="rect">
                          <a:avLst/>
                        </a:prstGeom>
                        <a:solidFill>
                          <a:srgbClr val="ffffff"/>
                        </a:solidFill>
                        <a:ln w="12600">
                          <a:solidFill>
                            <a:srgbClr val="ffffff"/>
                          </a:solidFill>
                          <a:miter/>
                        </a:ln>
                      </wps:spPr>
                      <wps:style>
                        <a:lnRef idx="0"/>
                        <a:fillRef idx="0"/>
                        <a:effectRef idx="0"/>
                        <a:fontRef idx="minor"/>
                      </wps:style>
                      <wps:bodyPr/>
                    </wps:wsp>
                  </a:graphicData>
                </a:graphic>
              </wp:anchor>
            </w:drawing>
          </mc:Choice>
          <mc:Fallback>
            <w:pict>
              <v:rect id="shape_0" ID="Rectangle 5" fillcolor="white" stroked="t" style="position:absolute;margin-left:-41.05pt;margin-top:-41.8pt;width:561.25pt;height:98.2pt">
                <w10:wrap type="none"/>
                <v:fill o:detectmouseclick="t" type="solid" color2="black"/>
                <v:stroke color="white" weight="12600" joinstyle="miter" endcap="flat"/>
              </v:rect>
            </w:pict>
          </mc:Fallback>
        </mc:AlternateContent>
      </w:r>
    </w:p>
    <w:p>
      <w:pPr>
        <w:pStyle w:val="Normal"/>
        <w:rPr>
          <w:rFonts w:ascii="Century Gothic" w:hAnsi="Century Gothic" w:eastAsia="Calibri" w:cs="Century Gothic"/>
          <w:b/>
          <w:b/>
          <w:bCs/>
          <w:szCs w:val="24"/>
        </w:rPr>
      </w:pPr>
      <w:r>
        <w:rPr>
          <w:rFonts w:eastAsia="Calibri" w:cs="Century Gothic" w:ascii="Century Gothic" w:hAnsi="Century Gothic"/>
          <w:b/>
          <w:bCs/>
          <w:szCs w:val="24"/>
        </w:rPr>
        <w:t>Training:</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Ensure all staff have safeguarding induction within their first 7 days and receive frequent updates so that they are able to recognise and report any concerns immediately.</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Attend relevant training every 2 years and an annual basis attend forums/roadshows to reinforce and enhance Safeguarding knowledge and practice.</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Represent the school at Designated Lead forums and disseminate the information to colleagues.</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Undergo Prevent training and be able to;</w:t>
      </w:r>
    </w:p>
    <w:p>
      <w:pPr>
        <w:pStyle w:val="ListParagraph"/>
        <w:numPr>
          <w:ilvl w:val="0"/>
          <w:numId w:val="2"/>
        </w:numPr>
        <w:rPr>
          <w:rFonts w:ascii="Arial" w:hAnsi="Arial" w:eastAsia="Calibri" w:cs="Arial"/>
          <w:sz w:val="22"/>
          <w:szCs w:val="22"/>
          <w:lang w:eastAsia="en-US"/>
        </w:rPr>
      </w:pPr>
      <w:r>
        <w:rPr>
          <w:rFonts w:eastAsia="Calibri" w:cs="Arial" w:ascii="Arial" w:hAnsi="Arial"/>
          <w:sz w:val="22"/>
          <w:szCs w:val="22"/>
          <w:lang w:eastAsia="en-US"/>
        </w:rPr>
        <w:t>Support the school in meeting the requirements of the Prevent duty.</w:t>
      </w:r>
    </w:p>
    <w:p>
      <w:pPr>
        <w:pStyle w:val="ListParagraph"/>
        <w:numPr>
          <w:ilvl w:val="0"/>
          <w:numId w:val="2"/>
        </w:numPr>
        <w:rPr>
          <w:rFonts w:ascii="Arial" w:hAnsi="Arial" w:eastAsia="Calibri" w:cs="Arial"/>
          <w:sz w:val="22"/>
          <w:szCs w:val="22"/>
          <w:lang w:eastAsia="en-US"/>
        </w:rPr>
      </w:pPr>
      <w:r>
        <w:rPr>
          <w:rFonts w:eastAsia="Calibri" w:cs="Arial" w:ascii="Arial" w:hAnsi="Arial"/>
          <w:sz w:val="22"/>
          <w:szCs w:val="22"/>
          <w:lang w:eastAsia="en-US"/>
        </w:rPr>
        <w:t xml:space="preserve">Provide advice and support to staff on protecting children from at risk of radicalisation. </w:t>
      </w:r>
    </w:p>
    <w:p>
      <w:pPr>
        <w:pStyle w:val="ListParagraph"/>
        <w:numPr>
          <w:ilvl w:val="0"/>
          <w:numId w:val="4"/>
        </w:numPr>
        <w:ind w:left="284" w:right="0" w:hanging="284"/>
        <w:rPr>
          <w:rFonts w:ascii="Arial" w:hAnsi="Arial" w:eastAsia="Calibri" w:cs="Arial"/>
          <w:sz w:val="22"/>
          <w:szCs w:val="22"/>
          <w:lang w:eastAsia="en-US"/>
        </w:rPr>
      </w:pPr>
      <w:r>
        <w:rPr>
          <w:rFonts w:eastAsia="Calibri" w:cs="Arial" w:ascii="Arial" w:hAnsi="Arial"/>
          <w:sz w:val="22"/>
          <w:szCs w:val="22"/>
          <w:lang w:eastAsia="en-US"/>
        </w:rPr>
        <w:t>Undergo training on female genital mutilation (FGM) and be able to;</w:t>
      </w:r>
    </w:p>
    <w:p>
      <w:pPr>
        <w:pStyle w:val="ListParagraph"/>
        <w:numPr>
          <w:ilvl w:val="0"/>
          <w:numId w:val="3"/>
        </w:numPr>
        <w:rPr>
          <w:rFonts w:ascii="Arial" w:hAnsi="Arial" w:eastAsia="Calibri" w:cs="Arial"/>
          <w:sz w:val="22"/>
          <w:szCs w:val="22"/>
          <w:lang w:eastAsia="en-US"/>
        </w:rPr>
      </w:pPr>
      <w:r>
        <w:rPr>
          <w:rFonts w:eastAsia="Calibri" w:cs="Arial" w:ascii="Arial" w:hAnsi="Arial"/>
          <w:sz w:val="22"/>
          <w:szCs w:val="22"/>
          <w:lang w:eastAsia="en-US"/>
        </w:rPr>
        <w:t xml:space="preserve">Provide advice and support to staff on protecting and identifying children at risk of FGM. </w:t>
      </w:r>
    </w:p>
    <w:p>
      <w:pPr>
        <w:pStyle w:val="ListParagraph"/>
        <w:numPr>
          <w:ilvl w:val="0"/>
          <w:numId w:val="3"/>
        </w:numPr>
        <w:rPr>
          <w:rFonts w:ascii="Arial" w:hAnsi="Arial" w:eastAsia="Calibri" w:cs="Arial"/>
          <w:sz w:val="22"/>
          <w:szCs w:val="22"/>
          <w:lang w:eastAsia="en-US"/>
        </w:rPr>
      </w:pPr>
      <w:r>
        <w:rPr>
          <w:rFonts w:eastAsia="Calibri" w:cs="Arial" w:ascii="Arial" w:hAnsi="Arial"/>
          <w:sz w:val="22"/>
          <w:szCs w:val="22"/>
          <w:lang w:eastAsia="en-US"/>
        </w:rPr>
        <w:t>Report known cases of FGM to the police and help others to do so.</w:t>
      </w:r>
    </w:p>
    <w:p>
      <w:pPr>
        <w:pStyle w:val="Normal"/>
        <w:rPr>
          <w:rFonts w:ascii="Century Gothic" w:hAnsi="Century Gothic" w:eastAsia="Calibri" w:cs="Century Gothic"/>
          <w:szCs w:val="24"/>
        </w:rPr>
      </w:pPr>
      <w:r>
        <w:rPr>
          <w:rFonts w:eastAsia="Calibri" w:cs="Century Gothic" w:ascii="Century Gothic" w:hAnsi="Century Gothic"/>
          <w:szCs w:val="24"/>
        </w:rPr>
      </w:r>
    </w:p>
    <w:p>
      <w:pPr>
        <w:pStyle w:val="Normal"/>
        <w:rPr>
          <w:rFonts w:ascii="Century Gothic" w:hAnsi="Century Gothic" w:eastAsia="Calibri" w:cs="Century Gothic"/>
          <w:b/>
          <w:b/>
          <w:bCs/>
          <w:szCs w:val="24"/>
        </w:rPr>
      </w:pPr>
      <w:r>
        <w:rPr>
          <w:rFonts w:eastAsia="Calibri" w:cs="Century Gothic" w:ascii="Century Gothic" w:hAnsi="Century Gothic"/>
          <w:b/>
          <w:bCs/>
          <w:szCs w:val="24"/>
        </w:rPr>
        <w:t>Knowledge and skills:</w:t>
      </w:r>
    </w:p>
    <w:p>
      <w:pPr>
        <w:pStyle w:val="Normal"/>
        <w:rPr>
          <w:rFonts w:ascii="Century Gothic" w:hAnsi="Century Gothic" w:eastAsia="Calibri" w:cs="Century Gothic"/>
          <w:b/>
          <w:b/>
          <w:bCs/>
          <w:szCs w:val="24"/>
        </w:rPr>
      </w:pPr>
      <w:r>
        <w:rPr>
          <w:rFonts w:eastAsia="Calibri" w:cs="Century Gothic" w:ascii="Century Gothic" w:hAnsi="Century Gothic"/>
          <w:b/>
          <w:bCs/>
          <w:szCs w:val="24"/>
        </w:rPr>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Act as a source of support, advice and expertise within the school</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Have a working knowledge of how the Safeguarding policies and procedures operate</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Ensure that staff members are following up to date procedures in line with National and Local expectations</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Act with integrity; maintaining confidentiality at all times</w:t>
      </w:r>
    </w:p>
    <w:p>
      <w:pPr>
        <w:pStyle w:val="ListParagraph"/>
        <w:rPr>
          <w:rFonts w:ascii="Arial" w:hAnsi="Arial" w:eastAsia="Calibri" w:cs="Arial"/>
          <w:sz w:val="22"/>
          <w:szCs w:val="22"/>
          <w:lang w:eastAsia="en-US"/>
        </w:rPr>
      </w:pPr>
      <w:r>
        <w:rPr>
          <w:rFonts w:eastAsia="Calibri" w:cs="Arial" w:ascii="Arial" w:hAnsi="Arial"/>
          <w:sz w:val="22"/>
          <w:szCs w:val="22"/>
          <w:lang w:eastAsia="en-US"/>
        </w:rPr>
      </w:r>
    </w:p>
    <w:p>
      <w:pPr>
        <w:pStyle w:val="Normal"/>
        <w:rPr>
          <w:rFonts w:ascii="Century Gothic" w:hAnsi="Century Gothic" w:eastAsia="Calibri" w:cs="Century Gothic"/>
          <w:b/>
          <w:b/>
          <w:bCs/>
          <w:szCs w:val="24"/>
        </w:rPr>
      </w:pPr>
      <w:r>
        <w:rPr>
          <w:rFonts w:eastAsia="Calibri" w:cs="Century Gothic" w:ascii="Century Gothic" w:hAnsi="Century Gothic"/>
          <w:b/>
          <w:bCs/>
          <w:szCs w:val="24"/>
        </w:rPr>
        <w:t>General Duties:</w:t>
      </w:r>
    </w:p>
    <w:p>
      <w:pPr>
        <w:pStyle w:val="Normal"/>
        <w:rPr>
          <w:rFonts w:ascii="Century Gothic" w:hAnsi="Century Gothic" w:eastAsia="Calibri" w:cs="Century Gothic"/>
          <w:b/>
          <w:b/>
          <w:bCs/>
          <w:szCs w:val="24"/>
        </w:rPr>
      </w:pPr>
      <w:r>
        <w:rPr>
          <w:rFonts w:eastAsia="Calibri" w:cs="Century Gothic" w:ascii="Century Gothic" w:hAnsi="Century Gothic"/>
          <w:b/>
          <w:bCs/>
          <w:szCs w:val="24"/>
        </w:rPr>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To undertake health and safety duties commensurate with the post and/or as detailed in the school health and safety policy.</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To work in accordance to the school’s equality policy.</w:t>
      </w:r>
    </w:p>
    <w:p>
      <w:pPr>
        <w:pStyle w:val="ListParagraph"/>
        <w:numPr>
          <w:ilvl w:val="0"/>
          <w:numId w:val="1"/>
        </w:numPr>
        <w:rPr>
          <w:rFonts w:ascii="Arial" w:hAnsi="Arial" w:eastAsia="Calibri" w:cs="Arial"/>
          <w:sz w:val="22"/>
          <w:szCs w:val="22"/>
          <w:lang w:eastAsia="en-US"/>
        </w:rPr>
      </w:pPr>
      <w:r>
        <w:rPr>
          <w:rFonts w:eastAsia="Calibri" w:cs="Arial" w:ascii="Arial" w:hAnsi="Arial"/>
          <w:sz w:val="22"/>
          <w:szCs w:val="22"/>
          <w:lang w:eastAsia="en-US"/>
        </w:rPr>
        <w:t>To assist the relevant professional for Inclusion to review and promote equalities policy in school.</w:t>
      </w:r>
      <w:r>
        <w:br w:type="page"/>
      </w:r>
    </w:p>
    <w:p>
      <w:pPr>
        <w:pStyle w:val="Normal"/>
        <w:rPr>
          <w:rFonts w:ascii="Century Gothic" w:hAnsi="Century Gothic" w:cs="Century Gothic"/>
          <w:b/>
          <w:b/>
          <w:sz w:val="48"/>
          <w:szCs w:val="48"/>
        </w:rPr>
      </w:pPr>
      <w:r>
        <w:rPr>
          <w:rFonts w:cs="Century Gothic" w:ascii="Century Gothic" w:hAnsi="Century Gothic"/>
          <w:b/>
          <w:sz w:val="48"/>
          <w:szCs w:val="48"/>
        </w:rPr>
        <w:t>PERSON SPECIFICATION</w:t>
      </w:r>
    </w:p>
    <w:p>
      <w:pPr>
        <w:pStyle w:val="Normal"/>
        <w:rPr>
          <w:rFonts w:ascii="Century Gothic" w:hAnsi="Century Gothic" w:cs="Century Gothic"/>
          <w:b/>
          <w:b/>
          <w:sz w:val="22"/>
          <w:szCs w:val="22"/>
        </w:rPr>
      </w:pPr>
      <w:r>
        <w:rPr>
          <w:rFonts w:cs="Century Gothic" w:ascii="Century Gothic" w:hAnsi="Century Gothic"/>
          <w:b/>
          <w:sz w:val="22"/>
          <w:szCs w:val="22"/>
        </w:rPr>
      </w:r>
    </w:p>
    <w:tbl>
      <w:tblPr>
        <w:tblW w:w="15523" w:type="dxa"/>
        <w:jc w:val="left"/>
        <w:tblInd w:w="0" w:type="dxa"/>
        <w:tblCellMar>
          <w:top w:w="0" w:type="dxa"/>
          <w:left w:w="108" w:type="dxa"/>
          <w:bottom w:w="0" w:type="dxa"/>
          <w:right w:w="108" w:type="dxa"/>
        </w:tblCellMar>
      </w:tblPr>
      <w:tblGrid>
        <w:gridCol w:w="8080"/>
        <w:gridCol w:w="7443"/>
      </w:tblGrid>
      <w:tr>
        <w:trPr/>
        <w:tc>
          <w:tcPr>
            <w:tcW w:w="8080" w:type="dxa"/>
            <w:tcBorders/>
            <w:shd w:fill="auto" w:val="clear"/>
          </w:tcPr>
          <w:p>
            <w:pPr>
              <w:pStyle w:val="Normal"/>
              <w:spacing w:before="60" w:after="60"/>
              <w:rPr/>
            </w:pPr>
            <w:r>
              <w:rPr>
                <w:rFonts w:cs="Century Gothic" w:ascii="Century Gothic" w:hAnsi="Century Gothic"/>
                <w:b/>
                <w:sz w:val="22"/>
                <w:szCs w:val="22"/>
              </w:rPr>
              <w:t xml:space="preserve">School:  </w:t>
            </w:r>
            <w:r>
              <w:rPr>
                <w:rFonts w:eastAsia="Calibri" w:cs="Arial" w:ascii="Arial" w:hAnsi="Arial"/>
                <w:szCs w:val="24"/>
                <w:lang w:eastAsia="en-US"/>
              </w:rPr>
              <w:t>Moorgate Primary School</w:t>
            </w:r>
          </w:p>
          <w:p>
            <w:pPr>
              <w:pStyle w:val="Normal"/>
              <w:spacing w:before="60" w:after="60"/>
              <w:ind w:left="0" w:right="-2271" w:hanging="0"/>
              <w:rPr>
                <w:rFonts w:ascii="Century Gothic" w:hAnsi="Century Gothic" w:cs="Century Gothic"/>
                <w:b/>
                <w:b/>
                <w:sz w:val="22"/>
                <w:szCs w:val="22"/>
              </w:rPr>
            </w:pPr>
            <w:r>
              <w:rPr>
                <w:rFonts w:cs="Century Gothic" w:ascii="Century Gothic" w:hAnsi="Century Gothic"/>
                <w:b/>
                <w:sz w:val="22"/>
                <w:szCs w:val="22"/>
              </w:rPr>
            </w:r>
          </w:p>
        </w:tc>
        <w:tc>
          <w:tcPr>
            <w:tcW w:w="7443" w:type="dxa"/>
            <w:tcBorders/>
            <w:shd w:fill="auto" w:val="clear"/>
          </w:tcPr>
          <w:p>
            <w:pPr>
              <w:pStyle w:val="Normal"/>
              <w:snapToGrid w:val="false"/>
              <w:spacing w:before="60" w:after="60"/>
              <w:ind w:left="1621" w:right="0" w:firstLine="142"/>
              <w:rPr>
                <w:rFonts w:ascii="Century Gothic" w:hAnsi="Century Gothic" w:cs="Century Gothic"/>
                <w:b/>
                <w:b/>
                <w:caps/>
                <w:sz w:val="22"/>
                <w:szCs w:val="22"/>
              </w:rPr>
            </w:pPr>
            <w:r>
              <w:rPr>
                <w:rFonts w:cs="Century Gothic" w:ascii="Century Gothic" w:hAnsi="Century Gothic"/>
                <w:b/>
                <w:caps/>
                <w:sz w:val="22"/>
                <w:szCs w:val="22"/>
              </w:rPr>
            </w:r>
          </w:p>
        </w:tc>
      </w:tr>
      <w:tr>
        <w:trPr/>
        <w:tc>
          <w:tcPr>
            <w:tcW w:w="8080" w:type="dxa"/>
            <w:tcBorders/>
            <w:shd w:fill="auto" w:val="clear"/>
          </w:tcPr>
          <w:p>
            <w:pPr>
              <w:pStyle w:val="Normal"/>
              <w:spacing w:before="60" w:after="60"/>
              <w:ind w:left="0" w:right="-2232" w:hanging="0"/>
              <w:rPr/>
            </w:pPr>
            <w:r>
              <w:rPr>
                <w:rFonts w:cs="Century Gothic" w:ascii="Century Gothic" w:hAnsi="Century Gothic"/>
                <w:b/>
                <w:sz w:val="22"/>
                <w:szCs w:val="22"/>
              </w:rPr>
              <w:t xml:space="preserve">Job Title: </w:t>
            </w:r>
            <w:r>
              <w:rPr>
                <w:rFonts w:eastAsia="Calibri" w:cs="Arial" w:ascii="Arial" w:hAnsi="Arial"/>
                <w:szCs w:val="24"/>
                <w:lang w:eastAsia="en-US"/>
              </w:rPr>
              <w:t>Pastoral Care and Designated Safeguarding Lead</w:t>
            </w:r>
          </w:p>
        </w:tc>
        <w:tc>
          <w:tcPr>
            <w:tcW w:w="7443" w:type="dxa"/>
            <w:tcBorders/>
            <w:shd w:fill="auto" w:val="clear"/>
          </w:tcPr>
          <w:p>
            <w:pPr>
              <w:pStyle w:val="Normal"/>
              <w:snapToGrid w:val="false"/>
              <w:spacing w:before="60" w:after="60"/>
              <w:rPr>
                <w:rFonts w:ascii="Century Gothic" w:hAnsi="Century Gothic" w:cs="Century Gothic"/>
                <w:caps/>
                <w:sz w:val="22"/>
                <w:szCs w:val="22"/>
              </w:rPr>
            </w:pPr>
            <w:r>
              <w:rPr>
                <w:rFonts w:cs="Century Gothic" w:ascii="Century Gothic" w:hAnsi="Century Gothic"/>
                <w:caps/>
                <w:sz w:val="22"/>
                <w:szCs w:val="22"/>
              </w:rPr>
            </w:r>
          </w:p>
        </w:tc>
      </w:tr>
      <w:tr>
        <w:trPr/>
        <w:tc>
          <w:tcPr>
            <w:tcW w:w="8080" w:type="dxa"/>
            <w:tcBorders/>
            <w:shd w:fill="auto" w:val="clear"/>
          </w:tcPr>
          <w:p>
            <w:pPr>
              <w:pStyle w:val="Normal"/>
              <w:spacing w:before="60" w:after="60"/>
              <w:rPr/>
            </w:pPr>
            <w:r>
              <w:rPr>
                <w:rFonts w:cs="Century Gothic" w:ascii="Century Gothic" w:hAnsi="Century Gothic"/>
                <w:b/>
                <w:sz w:val="22"/>
                <w:szCs w:val="22"/>
              </w:rPr>
              <w:t xml:space="preserve">Grade:  </w:t>
            </w:r>
            <w:r>
              <w:rPr>
                <w:rFonts w:eastAsia="Calibri" w:cs="Arial" w:ascii="Arial" w:hAnsi="Arial"/>
                <w:sz w:val="22"/>
                <w:szCs w:val="22"/>
                <w:lang w:eastAsia="en-US"/>
              </w:rPr>
              <w:t>F</w:t>
            </w:r>
          </w:p>
        </w:tc>
        <w:tc>
          <w:tcPr>
            <w:tcW w:w="7443" w:type="dxa"/>
            <w:tcBorders/>
            <w:shd w:fill="auto" w:val="clear"/>
          </w:tcPr>
          <w:p>
            <w:pPr>
              <w:pStyle w:val="Normal"/>
              <w:snapToGrid w:val="false"/>
              <w:spacing w:before="60" w:after="60"/>
              <w:rPr>
                <w:rFonts w:ascii="Century Gothic" w:hAnsi="Century Gothic" w:cs="Century Gothic"/>
                <w:sz w:val="22"/>
                <w:szCs w:val="22"/>
              </w:rPr>
            </w:pPr>
            <w:r>
              <w:rPr>
                <w:rFonts w:cs="Century Gothic" w:ascii="Century Gothic" w:hAnsi="Century Gothic"/>
                <w:sz w:val="22"/>
                <w:szCs w:val="22"/>
              </w:rPr>
            </w:r>
          </w:p>
        </w:tc>
      </w:tr>
    </w:tbl>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Arial" w:hAnsi="Arial" w:eastAsia="Calibri" w:cs="Arial"/>
          <w:sz w:val="22"/>
          <w:szCs w:val="22"/>
          <w:lang w:eastAsia="en-US"/>
        </w:rPr>
      </w:pPr>
      <w:r>
        <w:rPr>
          <w:rFonts w:eastAsia="Calibri" w:cs="Arial" w:ascii="Arial" w:hAnsi="Arial"/>
          <w:sz w:val="22"/>
          <w:szCs w:val="22"/>
          <w:lang w:eastAsia="en-US"/>
        </w:rPr>
        <w:t xml:space="preserve">You must demonstrate on your application form that you meet the following essential criteria </w:t>
      </w:r>
    </w:p>
    <w:p>
      <w:pPr>
        <w:pStyle w:val="Normal"/>
        <w:rPr>
          <w:rFonts w:ascii="Century Gothic" w:hAnsi="Century Gothic" w:cs="Century Gothic"/>
          <w:sz w:val="22"/>
          <w:szCs w:val="22"/>
        </w:rPr>
      </w:pPr>
      <w:r>
        <w:rPr>
          <w:rFonts w:cs="Century Gothic" w:ascii="Century Gothic" w:hAnsi="Century Gothic"/>
          <w:sz w:val="22"/>
          <w:szCs w:val="22"/>
        </w:rPr>
      </w:r>
    </w:p>
    <w:tbl>
      <w:tblPr>
        <w:tblW w:w="9360" w:type="dxa"/>
        <w:jc w:val="left"/>
        <w:tblInd w:w="0" w:type="dxa"/>
        <w:tblCellMar>
          <w:top w:w="0" w:type="dxa"/>
          <w:left w:w="108" w:type="dxa"/>
          <w:bottom w:w="0" w:type="dxa"/>
          <w:right w:w="108" w:type="dxa"/>
        </w:tblCellMar>
      </w:tblPr>
      <w:tblGrid>
        <w:gridCol w:w="5949"/>
        <w:gridCol w:w="3411"/>
      </w:tblGrid>
      <w:tr>
        <w:trPr/>
        <w:tc>
          <w:tcPr>
            <w:tcW w:w="5949" w:type="dxa"/>
            <w:tcBorders>
              <w:top w:val="single" w:sz="4" w:space="0" w:color="000000"/>
              <w:left w:val="single" w:sz="4" w:space="0" w:color="000000"/>
              <w:bottom w:val="single" w:sz="4" w:space="0" w:color="000000"/>
            </w:tcBorders>
            <w:shd w:fill="D9D9D9" w:val="clear"/>
          </w:tcPr>
          <w:p>
            <w:pPr>
              <w:pStyle w:val="Normal"/>
              <w:snapToGrid w:val="false"/>
              <w:spacing w:lineRule="auto" w:line="240" w:before="0" w:after="0"/>
              <w:rPr>
                <w:rFonts w:ascii="Century Gothic" w:hAnsi="Century Gothic" w:eastAsia="Calibri" w:cs="Century Gothic"/>
                <w:sz w:val="20"/>
                <w:szCs w:val="20"/>
                <w:lang w:eastAsia="en-GB"/>
              </w:rPr>
            </w:pPr>
            <w:r>
              <w:rPr>
                <w:rFonts w:eastAsia="Calibri" w:cs="Century Gothic" w:ascii="Century Gothic" w:hAnsi="Century Gothic"/>
                <w:sz w:val="20"/>
                <w:szCs w:val="20"/>
                <w:lang w:eastAsia="en-GB"/>
              </w:rPr>
            </w:r>
          </w:p>
        </w:tc>
        <w:tc>
          <w:tcPr>
            <w:tcW w:w="3411"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Century Gothic" w:hAnsi="Century Gothic" w:eastAsia="Calibri" w:cs="Century Gothic"/>
                <w:sz w:val="22"/>
                <w:szCs w:val="22"/>
                <w:lang w:eastAsia="en-GB"/>
              </w:rPr>
            </w:pPr>
            <w:r>
              <w:rPr>
                <w:rFonts w:eastAsia="Calibri" w:cs="Century Gothic" w:ascii="Century Gothic" w:hAnsi="Century Gothic"/>
                <w:sz w:val="22"/>
                <w:szCs w:val="22"/>
                <w:lang w:eastAsia="en-GB"/>
              </w:rPr>
              <w:t>Essential / Desirable</w:t>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Qualified to degree level or equivalent</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Desirable</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Good standard of education to include English and Maths at GCSE (or equivalent) at Grade C or better.</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ind w:left="0" w:right="0" w:firstLine="72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You will be flexible and have excellent communication and organisational skills.</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Good experience of IT skills.</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Demonstrable knowledge of the principles involved in giving advice and guidance to children/young people, including the place of confidentiality.</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Knowledge of the responsibilities of agencies towards vulnerable children such as the Child Protection Procedures and intervention work.</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Demonstrable knowledge of the range of additional support/agencies which can be of assistance to vulnerable pupils/students and families.</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Knowledge of the requirements for keeping children safe in school and to lead on child protections procedures.</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Ability to summarise clearly and concisely and articulate concepts and proposals.</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Ability to produce concise and complex reports.</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To be able to evaluate theoretical research based information</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An understanding of Common Assessment Framework and the ‘Early Help’ process.</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Knowledge of Schools Information Systems (Bromcom &amp;CPOMS).</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Ability to maintain student records and write other short reports as required.</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Ability to record and produce minutes from safeguarding meetings.</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Ability to work on one’s own initiative, balance competing priorities and organise a work schedule.</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Ability to motivate children/young people by establishing empathic and supportive working relationships.</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Ability to work as part of a team to reach agreed targets and outcomes for children/young people.</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The ability to use word processing packages and the internet.</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Experience of working with children including work within Child Protection and Multi Agency liaison.</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Demonstrable experience of working effectively with vulnerable children/ young people in either education, social work, youth work or another related area of work.</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Extensive experience of working effectively with the parents /carers of children / young people.</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Experience of working effectively with a range of professionals to promote children’s/young people’s learning or welfare OR Significant recent experience in work with children and families in a statutory childcare agency.</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Experience of working in a multi-agency environment.</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Ability to work flexibly attend evening and early morning meetings as required.</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Self-motivated and able to prioritise a demanding workload.</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To be professionally assertive and clear thinking, able to negotiate.</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To be able to operate as part of a team.</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Have an understanding of and the ability to deliver services within an Equal Opportunities</w:t>
            </w:r>
          </w:p>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Framework.</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Commitment to ensuring the safety and welfare of children.</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Uphold and promote the ethos and values of the school.</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Act with integrity, honesty, loyalty and fairness to safeguard the assets, financial integrity and reputation of the school.</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Ability to work under pressure and prioritise effectively.</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Maintain confidentiality at all times.</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r>
        <w:trPr/>
        <w:tc>
          <w:tcPr>
            <w:tcW w:w="594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Calibri" w:cs="Arial"/>
                <w:sz w:val="22"/>
                <w:szCs w:val="22"/>
                <w:lang w:eastAsia="en-US"/>
              </w:rPr>
            </w:pPr>
            <w:r>
              <w:rPr>
                <w:rFonts w:eastAsia="Calibri" w:cs="Arial" w:ascii="Arial" w:hAnsi="Arial"/>
                <w:sz w:val="22"/>
                <w:szCs w:val="22"/>
                <w:lang w:eastAsia="en-US"/>
              </w:rPr>
              <w:t xml:space="preserve">Commitment to equality. </w:t>
            </w:r>
          </w:p>
        </w:tc>
        <w:tc>
          <w:tcPr>
            <w:tcW w:w="341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t>Essential</w:t>
            </w:r>
          </w:p>
          <w:p>
            <w:pPr>
              <w:pStyle w:val="Normal"/>
              <w:spacing w:lineRule="auto" w:line="240" w:before="0" w:after="0"/>
              <w:jc w:val="center"/>
              <w:rPr>
                <w:rFonts w:ascii="Arial" w:hAnsi="Arial" w:eastAsia="Calibri" w:cs="Arial"/>
                <w:sz w:val="22"/>
                <w:szCs w:val="22"/>
                <w:lang w:eastAsia="en-US"/>
              </w:rPr>
            </w:pPr>
            <w:r>
              <w:rPr>
                <w:rFonts w:eastAsia="Calibri" w:cs="Arial" w:ascii="Arial" w:hAnsi="Arial"/>
                <w:sz w:val="22"/>
                <w:szCs w:val="22"/>
                <w:lang w:eastAsia="en-US"/>
              </w:rPr>
            </w:r>
          </w:p>
        </w:tc>
      </w:tr>
    </w:tbl>
    <w:p>
      <w:pPr>
        <w:pStyle w:val="Normal"/>
        <w:rPr/>
      </w:pPr>
      <w:r>
        <w:rPr/>
        <mc:AlternateContent>
          <mc:Choice Requires="wps">
            <w:drawing>
              <wp:anchor behindDoc="1" distT="0" distB="0" distL="114935" distR="114935" simplePos="0" locked="0" layoutInCell="1" allowOverlap="1" relativeHeight="7">
                <wp:simplePos x="0" y="0"/>
                <wp:positionH relativeFrom="column">
                  <wp:posOffset>4488815</wp:posOffset>
                </wp:positionH>
                <wp:positionV relativeFrom="paragraph">
                  <wp:posOffset>-6948805</wp:posOffset>
                </wp:positionV>
                <wp:extent cx="1934210" cy="1334135"/>
                <wp:effectExtent l="0" t="0" r="0" b="0"/>
                <wp:wrapNone/>
                <wp:docPr id="4" name="Rectangle 3"/>
                <a:graphic xmlns:a="http://schemas.openxmlformats.org/drawingml/2006/main">
                  <a:graphicData uri="http://schemas.microsoft.com/office/word/2010/wordprocessingShape">
                    <wps:wsp>
                      <wps:cNvSpPr/>
                      <wps:spPr>
                        <a:xfrm>
                          <a:off x="0" y="0"/>
                          <a:ext cx="1933560" cy="1333440"/>
                        </a:xfrm>
                        <a:prstGeom prst="rect">
                          <a:avLst/>
                        </a:prstGeom>
                        <a:solidFill>
                          <a:srgbClr val="ffffff"/>
                        </a:solidFill>
                        <a:ln w="12600">
                          <a:solidFill>
                            <a:srgbClr val="ffffff"/>
                          </a:solidFill>
                          <a:miter/>
                        </a:ln>
                      </wps:spPr>
                      <wps:style>
                        <a:lnRef idx="0"/>
                        <a:fillRef idx="0"/>
                        <a:effectRef idx="0"/>
                        <a:fontRef idx="minor"/>
                      </wps:style>
                      <wps:bodyPr/>
                    </wps:wsp>
                  </a:graphicData>
                </a:graphic>
              </wp:anchor>
            </w:drawing>
          </mc:Choice>
          <mc:Fallback>
            <w:pict>
              <v:rect id="shape_0" ID="Rectangle 3" fillcolor="white" stroked="t" style="position:absolute;margin-left:353.45pt;margin-top:-547.15pt;width:152.2pt;height:104.95pt">
                <w10:wrap type="none"/>
                <v:fill o:detectmouseclick="t" type="solid" color2="black"/>
                <v:stroke color="white" weight="12600" joinstyle="miter" endcap="flat"/>
              </v:rect>
            </w:pict>
          </mc:Fallback>
        </mc:AlternateContent>
        <mc:AlternateContent>
          <mc:Choice Requires="wps">
            <w:drawing>
              <wp:anchor behindDoc="1" distT="0" distB="0" distL="114935" distR="114935" simplePos="0" locked="0" layoutInCell="1" allowOverlap="1" relativeHeight="8">
                <wp:simplePos x="0" y="0"/>
                <wp:positionH relativeFrom="column">
                  <wp:posOffset>-530860</wp:posOffset>
                </wp:positionH>
                <wp:positionV relativeFrom="paragraph">
                  <wp:posOffset>-7673340</wp:posOffset>
                </wp:positionV>
                <wp:extent cx="1529715" cy="1153160"/>
                <wp:effectExtent l="0" t="0" r="0" b="0"/>
                <wp:wrapNone/>
                <wp:docPr id="5" name="Rectangle 7"/>
                <a:graphic xmlns:a="http://schemas.openxmlformats.org/drawingml/2006/main">
                  <a:graphicData uri="http://schemas.microsoft.com/office/word/2010/wordprocessingShape">
                    <wps:wsp>
                      <wps:cNvSpPr/>
                      <wps:spPr>
                        <a:xfrm>
                          <a:off x="0" y="0"/>
                          <a:ext cx="1528920" cy="1152360"/>
                        </a:xfrm>
                        <a:prstGeom prst="rect">
                          <a:avLst/>
                        </a:prstGeom>
                        <a:solidFill>
                          <a:srgbClr val="ffffff"/>
                        </a:solidFill>
                        <a:ln w="12600">
                          <a:solidFill>
                            <a:srgbClr val="ffffff"/>
                          </a:solidFill>
                          <a:miter/>
                        </a:ln>
                      </wps:spPr>
                      <wps:style>
                        <a:lnRef idx="0"/>
                        <a:fillRef idx="0"/>
                        <a:effectRef idx="0"/>
                        <a:fontRef idx="minor"/>
                      </wps:style>
                      <wps:bodyPr/>
                    </wps:wsp>
                  </a:graphicData>
                </a:graphic>
              </wp:anchor>
            </w:drawing>
          </mc:Choice>
          <mc:Fallback>
            <w:pict>
              <v:rect id="shape_0" ID="Rectangle 7" fillcolor="white" stroked="t" style="position:absolute;margin-left:-41.8pt;margin-top:-604.2pt;width:120.35pt;height:90.7pt">
                <w10:wrap type="none"/>
                <v:fill o:detectmouseclick="t" type="solid" color2="black"/>
                <v:stroke color="white" weight="12600" joinstyle="miter" endcap="flat"/>
              </v:rect>
            </w:pict>
          </mc:Fallback>
        </mc:AlternateContent>
        <mc:AlternateContent>
          <mc:Choice Requires="wps">
            <w:drawing>
              <wp:anchor behindDoc="1" distT="0" distB="0" distL="114935" distR="114935" simplePos="0" locked="0" layoutInCell="1" allowOverlap="1" relativeHeight="9">
                <wp:simplePos x="0" y="0"/>
                <wp:positionH relativeFrom="column">
                  <wp:posOffset>-530860</wp:posOffset>
                </wp:positionH>
                <wp:positionV relativeFrom="paragraph">
                  <wp:posOffset>-616585</wp:posOffset>
                </wp:positionV>
                <wp:extent cx="7258685" cy="1496060"/>
                <wp:effectExtent l="0" t="0" r="0" b="0"/>
                <wp:wrapNone/>
                <wp:docPr id="6" name="Rectangle 8"/>
                <a:graphic xmlns:a="http://schemas.openxmlformats.org/drawingml/2006/main">
                  <a:graphicData uri="http://schemas.microsoft.com/office/word/2010/wordprocessingShape">
                    <wps:wsp>
                      <wps:cNvSpPr/>
                      <wps:spPr>
                        <a:xfrm>
                          <a:off x="0" y="0"/>
                          <a:ext cx="7257960" cy="1495440"/>
                        </a:xfrm>
                        <a:prstGeom prst="rect">
                          <a:avLst/>
                        </a:prstGeom>
                        <a:solidFill>
                          <a:srgbClr val="ffffff"/>
                        </a:solidFill>
                        <a:ln w="12600">
                          <a:solidFill>
                            <a:srgbClr val="ffffff"/>
                          </a:solidFill>
                          <a:miter/>
                        </a:ln>
                      </wps:spPr>
                      <wps:style>
                        <a:lnRef idx="0"/>
                        <a:fillRef idx="0"/>
                        <a:effectRef idx="0"/>
                        <a:fontRef idx="minor"/>
                      </wps:style>
                      <wps:bodyPr/>
                    </wps:wsp>
                  </a:graphicData>
                </a:graphic>
              </wp:anchor>
            </w:drawing>
          </mc:Choice>
          <mc:Fallback>
            <w:pict>
              <v:rect id="shape_0" ID="Rectangle 8" fillcolor="white" stroked="t" style="position:absolute;margin-left:-41.8pt;margin-top:-48.55pt;width:571.45pt;height:117.7pt">
                <w10:wrap type="none"/>
                <v:fill o:detectmouseclick="t" type="solid" color2="black"/>
                <v:stroke color="white" weight="12600" joinstyle="miter" endcap="flat"/>
              </v:rect>
            </w:pict>
          </mc:Fallback>
        </mc:AlternateContent>
      </w:r>
    </w:p>
    <w:p>
      <w:pPr>
        <w:pStyle w:val="Normal"/>
        <w:rPr>
          <w:rFonts w:ascii="Century Gothic" w:hAnsi="Century Gothic" w:cs="Century Gothic"/>
          <w:b/>
          <w:b/>
          <w:color w:val="FF0000"/>
          <w:sz w:val="22"/>
          <w:szCs w:val="22"/>
        </w:rPr>
      </w:pPr>
      <w:r>
        <w:rPr>
          <w:rFonts w:cs="Century Gothic" w:ascii="Century Gothic" w:hAnsi="Century Gothic"/>
          <w:b/>
          <w:color w:val="FF0000"/>
          <w:sz w:val="22"/>
          <w:szCs w:val="22"/>
        </w:rPr>
        <w:br/>
      </w:r>
    </w:p>
    <w:p>
      <w:pPr>
        <w:pStyle w:val="Normal"/>
        <w:rPr>
          <w:rFonts w:ascii="Arial" w:hAnsi="Arial" w:cs="Arial"/>
          <w:b/>
          <w:b/>
          <w:color w:val="FF0000"/>
          <w:sz w:val="22"/>
          <w:szCs w:val="22"/>
        </w:rPr>
      </w:pPr>
      <w:r>
        <w:rPr>
          <w:rFonts w:cs="Arial" w:ascii="Arial" w:hAnsi="Arial"/>
          <w:b/>
          <w:color w:val="FF0000"/>
          <w:sz w:val="22"/>
          <w:szCs w:val="22"/>
        </w:rPr>
      </w:r>
    </w:p>
    <w:p>
      <w:pPr>
        <w:pStyle w:val="Normal"/>
        <w:rPr>
          <w:rFonts w:ascii="Arial" w:hAnsi="Arial" w:cs="Arial"/>
          <w:sz w:val="22"/>
          <w:szCs w:val="22"/>
        </w:rPr>
      </w:pPr>
      <w:r>
        <w:rPr>
          <w:rFonts w:cs="Arial" w:ascii="Arial" w:hAnsi="Arial"/>
          <w:sz w:val="22"/>
          <w:szCs w:val="22"/>
        </w:rPr>
      </w:r>
    </w:p>
    <w:sectPr>
      <w:headerReference w:type="default" r:id="rId2"/>
      <w:type w:val="nextPage"/>
      <w:pgSz w:w="11906" w:h="16838"/>
      <w:pgMar w:left="1151" w:right="1151" w:header="708" w:top="1958" w:footer="0" w:bottom="1151"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Courier New">
    <w:charset w:val="01"/>
    <w:family w:val="modern"/>
    <w:pitch w:val="default"/>
  </w:font>
  <w:font w:name="Wingdings">
    <w:charset w:val="02"/>
    <w:family w:val="auto"/>
    <w:pitch w:val="variable"/>
  </w:font>
  <w:font w:name="Century Gothic">
    <w:charset w:val="01"/>
    <w:family w:val="swiss"/>
    <w:pitch w:val="variable"/>
  </w:font>
  <w:font w:name="Liberation Sans">
    <w:altName w:val="Arial"/>
    <w:charset w:val="00"/>
    <w:family w:val="swiss"/>
    <w:pitch w:val="variable"/>
  </w:font>
  <w:font w:name="Century Gothic">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right"/>
      <w:rPr/>
    </w:pPr>
    <w:r>
      <w:rPr/>
      <w:drawing>
        <wp:anchor behindDoc="1" distT="0" distB="0" distL="0" distR="0" simplePos="0" locked="0" layoutInCell="1" allowOverlap="1" relativeHeight="6">
          <wp:simplePos x="0" y="0"/>
          <wp:positionH relativeFrom="column">
            <wp:posOffset>4641215</wp:posOffset>
          </wp:positionH>
          <wp:positionV relativeFrom="paragraph">
            <wp:posOffset>-230505</wp:posOffset>
          </wp:positionV>
          <wp:extent cx="1901190" cy="837565"/>
          <wp:effectExtent l="0" t="0" r="0" b="0"/>
          <wp:wrapNone/>
          <wp:docPr id="7"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 descr=""/>
                  <pic:cNvPicPr>
                    <a:picLocks noChangeAspect="1" noChangeArrowheads="1"/>
                  </pic:cNvPicPr>
                </pic:nvPicPr>
                <pic:blipFill>
                  <a:blip r:embed="rId1"/>
                  <a:srcRect l="-19" t="-43" r="-19" b="-43"/>
                  <a:stretch>
                    <a:fillRect/>
                  </a:stretch>
                </pic:blipFill>
                <pic:spPr bwMode="auto">
                  <a:xfrm>
                    <a:off x="0" y="0"/>
                    <a:ext cx="1901190" cy="83756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360" w:hanging="360"/>
      </w:pPr>
      <w:rPr>
        <w:rFonts w:ascii="Symbol" w:hAnsi="Symbol" w:cs="Symbol" w:hint="default"/>
        <w:sz w:val="22"/>
        <w:szCs w:val="22"/>
        <w:rFonts w:cs="Symbol"/>
        <w:color w:val="auto"/>
        <w:lang w:eastAsia="en-U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bullet"/>
      <w:lvlText w:val="-"/>
      <w:lvlJc w:val="left"/>
      <w:pPr>
        <w:ind w:left="720" w:hanging="360"/>
      </w:pPr>
      <w:rPr>
        <w:rFonts w:ascii="Century Gothic" w:hAnsi="Century Gothic" w:cs="Century Gothic" w:hint="default"/>
        <w:sz w:val="22"/>
        <w:rFonts w:cs="Aria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Century Gothic" w:hAnsi="Century Gothic" w:cs="Century Gothic" w:hint="default"/>
        <w:sz w:val="22"/>
        <w:rFonts w:cs="Aria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Tahoma" w:hAnsi="Tahoma" w:eastAsia="Times New Roman" w:cs="Times New Roman"/>
      <w:color w:val="auto"/>
      <w:kern w:val="0"/>
      <w:sz w:val="24"/>
      <w:szCs w:val="20"/>
      <w:lang w:val="en-GB" w:eastAsia="en-GB" w:bidi="ar-SA"/>
    </w:rPr>
  </w:style>
  <w:style w:type="character" w:styleId="WW8Num1z0">
    <w:name w:val="WW8Num1z0"/>
    <w:qFormat/>
    <w:rPr>
      <w:rFonts w:ascii="Symbol" w:hAnsi="Symbol" w:eastAsia="Calibri" w:cs="Symbol"/>
      <w:color w:val="auto"/>
      <w:sz w:val="22"/>
      <w:szCs w:val="22"/>
      <w:lang w:eastAsia="en-US"/>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0">
    <w:name w:val="WW8Num2z0"/>
    <w:qFormat/>
    <w:rPr>
      <w:rFonts w:ascii="Century Gothic" w:hAnsi="Century Gothic" w:cs="Arial"/>
      <w:sz w:val="22"/>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Century Gothic" w:hAnsi="Century Gothic" w:cs="Arial"/>
      <w:sz w:val="22"/>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HeaderChar">
    <w:name w:val="Header Char"/>
    <w:basedOn w:val="DefaultParagraphFont"/>
    <w:qFormat/>
    <w:rPr>
      <w:rFonts w:ascii="Tahoma" w:hAnsi="Tahoma" w:eastAsia="Times New Roman" w:cs="Times New Roman"/>
      <w:sz w:val="24"/>
      <w:szCs w:val="20"/>
      <w:lang w:eastAsia="en-GB"/>
    </w:rPr>
  </w:style>
  <w:style w:type="character" w:styleId="FooterChar">
    <w:name w:val="Footer Char"/>
    <w:basedOn w:val="DefaultParagraphFont"/>
    <w:qFormat/>
    <w:rPr>
      <w:rFonts w:ascii="Tahoma" w:hAnsi="Tahoma" w:eastAsia="Times New Roman" w:cs="Times New Roman"/>
      <w:sz w:val="24"/>
      <w:szCs w:val="20"/>
      <w:lang w:eastAsia="en-GB"/>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ListParagraph">
    <w:name w:val="List Paragraph"/>
    <w:basedOn w:val="Normal"/>
    <w:qFormat/>
    <w:pPr>
      <w:spacing w:before="0" w:after="0"/>
      <w:ind w:left="720" w:right="0" w:hanging="0"/>
      <w:contextualSpacing/>
    </w:pPr>
    <w:rPr/>
  </w:style>
  <w:style w:type="paragraph" w:styleId="Footer">
    <w:name w:val="Footer"/>
    <w:basedOn w:val="Normal"/>
    <w:pPr>
      <w:tabs>
        <w:tab w:val="clear" w:pos="720"/>
        <w:tab w:val="center" w:pos="4513" w:leader="none"/>
        <w:tab w:val="right" w:pos="9026" w:leader="none"/>
      </w:tab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docProps/app.xml><?xml version="1.0" encoding="utf-8"?>
<Properties xmlns="http://schemas.openxmlformats.org/officeDocument/2006/extended-properties" xmlns:vt="http://schemas.openxmlformats.org/officeDocument/2006/docPropsVTypes">
  <Template>Normal.dotm</Template>
  <TotalTime>47</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