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240" w:after="60"/>
        <w:ind w:hanging="0" w:left="0"/>
        <w:jc w:val="center"/>
        <w:rPr>
          <w:rFonts w:ascii="Arial" w:hAnsi="Arial" w:cs="Arial"/>
          <w:sz w:val="22"/>
          <w:szCs w:val="22"/>
        </w:rPr>
      </w:pPr>
      <w:r>
        <w:rPr>
          <w:rFonts w:cs="Arial" w:ascii="Arial" w:hAnsi="Arial"/>
          <w:sz w:val="22"/>
          <w:szCs w:val="22"/>
        </w:rPr>
        <w:t>Person Specification for Teachers</w:t>
      </w:r>
    </w:p>
    <w:tbl>
      <w:tblPr>
        <w:tblW w:w="10739" w:type="dxa"/>
        <w:jc w:val="left"/>
        <w:tblInd w:w="108" w:type="dxa"/>
        <w:tblLayout w:type="fixed"/>
        <w:tblCellMar>
          <w:top w:w="0" w:type="dxa"/>
          <w:left w:w="108" w:type="dxa"/>
          <w:bottom w:w="0" w:type="dxa"/>
          <w:right w:w="108" w:type="dxa"/>
        </w:tblCellMar>
      </w:tblPr>
      <w:tblGrid>
        <w:gridCol w:w="7621"/>
        <w:gridCol w:w="3118"/>
      </w:tblGrid>
      <w:tr>
        <w:trPr>
          <w:trHeight w:val="366" w:hRule="atLeast"/>
        </w:trPr>
        <w:tc>
          <w:tcPr>
            <w:tcW w:w="7621" w:type="dxa"/>
            <w:tcBorders>
              <w:top w:val="single" w:sz="4" w:space="0" w:color="000000"/>
              <w:left w:val="single" w:sz="4" w:space="0" w:color="000000"/>
              <w:bottom w:val="single" w:sz="4" w:space="0" w:color="000000"/>
              <w:right w:val="single" w:sz="4" w:space="0" w:color="000000"/>
            </w:tcBorders>
            <w:shd w:fill="B3B3B3" w:val="clear"/>
          </w:tcPr>
          <w:p>
            <w:pPr>
              <w:pStyle w:val="Normal"/>
              <w:widowControl/>
              <w:bidi w:val="0"/>
              <w:spacing w:lineRule="auto" w:line="276" w:before="0" w:after="200"/>
              <w:jc w:val="left"/>
              <w:rPr>
                <w:rFonts w:cs="Arial"/>
                <w:b/>
                <w:bCs/>
              </w:rPr>
            </w:pPr>
            <w:r>
              <w:rPr>
                <w:rFonts w:cs="Arial"/>
                <w:b/>
                <w:bCs/>
              </w:rPr>
              <w:t>Essential requirements</w:t>
            </w:r>
          </w:p>
        </w:tc>
        <w:tc>
          <w:tcPr>
            <w:tcW w:w="3118" w:type="dxa"/>
            <w:tcBorders>
              <w:top w:val="single" w:sz="4" w:space="0" w:color="000000"/>
              <w:left w:val="single" w:sz="4" w:space="0" w:color="000000"/>
              <w:bottom w:val="single" w:sz="4" w:space="0" w:color="000000"/>
              <w:right w:val="single" w:sz="4" w:space="0" w:color="000000"/>
            </w:tcBorders>
            <w:shd w:fill="B3B3B3" w:val="clear"/>
          </w:tcPr>
          <w:p>
            <w:pPr>
              <w:pStyle w:val="Normal"/>
              <w:widowControl/>
              <w:bidi w:val="0"/>
              <w:spacing w:lineRule="auto" w:line="276" w:before="0" w:after="200"/>
              <w:jc w:val="left"/>
              <w:rPr>
                <w:rFonts w:cs="Arial"/>
                <w:b/>
                <w:bCs/>
              </w:rPr>
            </w:pPr>
            <w:r>
              <w:rPr>
                <w:rFonts w:cs="Arial"/>
                <w:b/>
                <w:bCs/>
              </w:rPr>
              <w:t>Means of assessment</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DfE recognised QTS</w:t>
            </w:r>
          </w:p>
        </w:tc>
        <w:tc>
          <w:tcPr>
            <w:tcW w:w="3118"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Application form</w:t>
            </w:r>
          </w:p>
        </w:tc>
      </w:tr>
      <w:tr>
        <w:trPr>
          <w:trHeight w:val="1870" w:hRule="atLeast"/>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Successful experience of teaching pupils within the primary age range with experience in early years / Key Stage 1 / Key Stage 2.</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Application form</w:t>
            </w:r>
          </w:p>
          <w:p>
            <w:pPr>
              <w:pStyle w:val="Normal"/>
              <w:rPr>
                <w:rFonts w:cs="Arial"/>
              </w:rPr>
            </w:pPr>
            <w:r>
              <w:rPr>
                <w:rFonts w:cs="Arial"/>
              </w:rPr>
              <w:t>Interview</w:t>
            </w:r>
          </w:p>
          <w:p>
            <w:pPr>
              <w:pStyle w:val="Normal"/>
              <w:rPr>
                <w:rFonts w:cs="Arial"/>
              </w:rPr>
            </w:pPr>
            <w:r>
              <w:rPr>
                <w:rFonts w:cs="Arial"/>
              </w:rPr>
              <w:t>Letter of application</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Use a range of teaching and learning strategies and classroom management styles which reflect the needs of the children and the demands of the curriculum to ensure that all pupils make the highest progress of which they are capable in all areas of their development.</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rPr>
                <w:rFonts w:cs="Arial"/>
              </w:rPr>
            </w:pPr>
            <w:r>
              <w:rPr>
                <w:rFonts w:cs="Arial"/>
              </w:rPr>
              <w:t>Classroom observation</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Be entirely familiar with and have a high level of competence in delivering the National Curriculum relevant to the phase within which they teach and across the school.</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rPr>
                <w:rFonts w:cs="Arial"/>
              </w:rPr>
            </w:pPr>
            <w:r>
              <w:rPr>
                <w:rFonts w:cs="Arial"/>
              </w:rPr>
              <w:t>Classroom observation</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Have relevant experience of working toward and achieving demanding pupil and professional targets.</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rPr>
                <w:rFonts w:cs="Arial"/>
              </w:rPr>
            </w:pPr>
            <w:r>
              <w:rPr>
                <w:rFonts w:cs="Arial"/>
              </w:rPr>
              <w:t>Portfolio of evidence indicating targets and outcomes</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Have the ability to process data effectively and use outcomes constructively.</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Have the ability to motivate pupils, parents and colleagues to achieve high standards in all areas of pupil development.</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Have the ability to work collaboratively and effectively with a range of professionals to ensure that pupils achieve the highest standards of which they are capable.</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Have the ability to write, implement and review high quality individual education and behaviour plans.</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rPr>
                <w:rFonts w:cs="Arial"/>
              </w:rPr>
            </w:pPr>
            <w:r>
              <w:rPr>
                <w:rFonts w:cs="Arial"/>
              </w:rPr>
              <w:t>Portfolio of evidence</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Have the ability to adapt to change positively and use new initiatives to improve the quality of teaching and learning within your own classroom and beyond.</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Work according to agreed school policies, principles and procedures including maintaining records of children’s work and performance very high standards</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Be a model of professional excellence for colleagues, pupils and parents within school.</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Lead one area of the curriculum effectively and efficiently.</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cs="Arial"/>
              </w:rPr>
            </w:pPr>
            <w:r>
              <w:rPr>
                <w:rFonts w:cs="Arial"/>
              </w:rPr>
              <w:t xml:space="preserve">Be committed to continuous self-evaluation and improvement and have a positive attitude toward participating in and leading INSET. </w:t>
            </w:r>
          </w:p>
        </w:tc>
        <w:tc>
          <w:tcPr>
            <w:tcW w:w="311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right w:val="single" w:sz="4" w:space="0" w:color="000000"/>
            </w:tcBorders>
            <w:shd w:fill="B3B3B3" w:val="clear"/>
          </w:tcPr>
          <w:p>
            <w:pPr>
              <w:pStyle w:val="Normal"/>
              <w:widowControl/>
              <w:bidi w:val="0"/>
              <w:spacing w:lineRule="auto" w:line="276" w:before="0" w:after="200"/>
              <w:jc w:val="left"/>
              <w:rPr>
                <w:rFonts w:cs="Arial"/>
              </w:rPr>
            </w:pPr>
            <w:r>
              <w:rPr>
                <w:rFonts w:cs="Arial"/>
              </w:rPr>
              <w:t>Desirable requirements</w:t>
            </w:r>
          </w:p>
        </w:tc>
        <w:tc>
          <w:tcPr>
            <w:tcW w:w="3118" w:type="dxa"/>
            <w:tcBorders>
              <w:top w:val="single" w:sz="4" w:space="0" w:color="000000"/>
              <w:left w:val="single" w:sz="4" w:space="0" w:color="000000"/>
              <w:bottom w:val="single" w:sz="4" w:space="0" w:color="000000"/>
              <w:right w:val="single" w:sz="4" w:space="0" w:color="000000"/>
            </w:tcBorders>
            <w:shd w:fill="B3B3B3" w:val="clear"/>
          </w:tcPr>
          <w:p>
            <w:pPr>
              <w:pStyle w:val="Normal"/>
              <w:spacing w:before="0" w:after="200"/>
              <w:jc w:val="both"/>
              <w:rPr>
                <w:rFonts w:cs="Arial"/>
              </w:rPr>
            </w:pPr>
            <w:r>
              <w:rPr>
                <w:rFonts w:cs="Arial"/>
              </w:rPr>
              <w:t>Means of assessment</w:t>
            </w:r>
          </w:p>
        </w:tc>
      </w:tr>
      <w:tr>
        <w:trPr/>
        <w:tc>
          <w:tcPr>
            <w:tcW w:w="7621"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rFonts w:cs="Arial"/>
              </w:rPr>
            </w:pPr>
            <w:r>
              <w:rPr>
                <w:rFonts w:cs="Arial"/>
              </w:rPr>
              <w:t>Be prepared to participate in an extra-curricular activity</w:t>
            </w:r>
          </w:p>
        </w:tc>
        <w:tc>
          <w:tcPr>
            <w:tcW w:w="3118" w:type="dxa"/>
            <w:tcBorders>
              <w:top w:val="single" w:sz="4" w:space="0" w:color="000000"/>
              <w:left w:val="single" w:sz="4" w:space="0" w:color="000000"/>
              <w:bottom w:val="single" w:sz="4" w:space="0" w:color="000000"/>
              <w:right w:val="single" w:sz="4" w:space="0" w:color="000000"/>
            </w:tcBorders>
          </w:tcPr>
          <w:p>
            <w:pPr>
              <w:pStyle w:val="Normal"/>
              <w:jc w:val="both"/>
              <w:rPr>
                <w:rFonts w:cs="Arial"/>
              </w:rPr>
            </w:pPr>
            <w:r>
              <w:rPr>
                <w:rFonts w:cs="Arial"/>
              </w:rPr>
              <w:t>Letter of application</w:t>
            </w:r>
          </w:p>
          <w:p>
            <w:pPr>
              <w:pStyle w:val="Normal"/>
              <w:spacing w:before="0" w:after="200"/>
              <w:jc w:val="both"/>
              <w:rPr>
                <w:rFonts w:cs="Arial"/>
              </w:rPr>
            </w:pPr>
            <w:r>
              <w:rPr>
                <w:rFonts w:cs="Arial"/>
              </w:rPr>
              <w:t>Reference</w:t>
            </w:r>
          </w:p>
        </w:tc>
      </w:tr>
    </w:tbl>
    <w:p>
      <w:pPr>
        <w:pStyle w:val="Header"/>
        <w:rPr>
          <w:rFonts w:ascii="Arial" w:hAnsi="Arial" w:cs="Arial"/>
          <w:sz w:val="4"/>
          <w:szCs w:val="4"/>
        </w:rPr>
      </w:pPr>
      <w:r>
        <w:rPr>
          <w:rFonts w:cs="Arial" w:ascii="Arial" w:hAnsi="Arial"/>
          <w:sz w:val="4"/>
          <w:szCs w:val="4"/>
        </w:rPr>
      </w:r>
    </w:p>
    <w:p>
      <w:pPr>
        <w:pStyle w:val="Normal"/>
        <w:jc w:val="both"/>
        <w:rPr>
          <w:rFonts w:ascii="Arial" w:hAnsi="Arial" w:cs="Arial"/>
          <w:sz w:val="20"/>
          <w:szCs w:val="20"/>
        </w:rPr>
      </w:pPr>
      <w:r>
        <w:rPr>
          <w:rFonts w:cs="Arial" w:ascii="Arial" w:hAnsi="Arial"/>
          <w:sz w:val="20"/>
          <w:szCs w:val="20"/>
        </w:rPr>
      </w:r>
    </w:p>
    <w:p>
      <w:pPr>
        <w:pStyle w:val="Normal"/>
        <w:spacing w:before="0" w:after="200"/>
        <w:jc w:val="both"/>
        <w:rPr>
          <w:rFonts w:ascii="Arial" w:hAnsi="Arial" w:cs="Arial"/>
          <w:sz w:val="20"/>
          <w:szCs w:val="20"/>
        </w:rPr>
      </w:pPr>
      <w:r>
        <w:rPr>
          <w:rFonts w:cs="Arial" w:ascii="Arial" w:hAnsi="Arial"/>
          <w:sz w:val="20"/>
          <w:szCs w:val="20"/>
        </w:rPr>
      </w:r>
    </w:p>
    <w:sectPr>
      <w:headerReference w:type="even" r:id="rId2"/>
      <w:headerReference w:type="default" r:id="rId3"/>
      <w:type w:val="nextPage"/>
      <w:pgSz w:w="11906" w:h="16838"/>
      <w:pgMar w:left="720" w:right="720" w:gutter="0" w:header="708" w:top="765"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 w:name="Comic Sans MS">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940" w:leader="none"/>
        <w:tab w:val="center" w:pos="4771" w:leader="none"/>
      </w:tabs>
      <w:overflowPunct w:val="true"/>
      <w:spacing w:lineRule="auto" w:line="240" w:before="0" w:after="0"/>
      <w:textAlignment w:val="baseline"/>
      <w:rPr>
        <w:rFonts w:ascii="Comic Sans MS" w:hAnsi="Comic Sans MS" w:eastAsia="Times New Roman" w:cs="Comic Sans MS"/>
        <w:b/>
        <w:sz w:val="28"/>
        <w:szCs w:val="28"/>
      </w:rPr>
    </w:pPr>
    <w:r>
      <w:rPr>
        <w:rFonts w:eastAsia="Times New Roman" w:cs="Comic Sans MS" w:ascii="Comic Sans MS" w:hAnsi="Comic Sans MS"/>
        <w:b/>
        <w:sz w:val="28"/>
        <w:szCs w:val="28"/>
      </w:rPr>
      <w:tab/>
      <w:tab/>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qFormat/>
    <w:pPr>
      <w:keepNext w:val="true"/>
      <w:numPr>
        <w:ilvl w:val="0"/>
        <w:numId w:val="1"/>
      </w:numPr>
      <w:spacing w:lineRule="auto" w:line="240" w:before="240" w:after="60"/>
      <w:outlineLvl w:val="0"/>
    </w:pPr>
    <w:rPr>
      <w:rFonts w:ascii="Cambria" w:hAnsi="Cambria" w:eastAsia="Times New Roman" w:cs="Cambria"/>
      <w:b/>
      <w:bCs/>
      <w:kern w:val="2"/>
      <w:sz w:val="32"/>
      <w:szCs w:val="32"/>
      <w:lang w:eastAsia="en-GB"/>
    </w:rPr>
  </w:style>
  <w:style w:type="character" w:styleId="DefaultParagraphFont">
    <w:name w:val="Default Paragraph Font"/>
    <w:qFormat/>
    <w:rPr/>
  </w:style>
  <w:style w:type="character" w:styleId="NoSpacingChar">
    <w:name w:val="No Spacing Char"/>
    <w:qFormat/>
    <w:rPr>
      <w:rFonts w:ascii="Calibri" w:hAnsi="Calibri" w:eastAsia="Times New Roman" w:cs="Times New Roman"/>
      <w:lang w:val="en-US"/>
    </w:rPr>
  </w:style>
  <w:style w:type="character" w:styleId="TitleChar">
    <w:name w:val="Title Char"/>
    <w:basedOn w:val="DefaultParagraphFont"/>
    <w:qFormat/>
    <w:rPr>
      <w:rFonts w:ascii="Times New Roman" w:hAnsi="Times New Roman" w:eastAsia="Times New Roman" w:cs="Times New Roman"/>
      <w:b/>
      <w:sz w:val="36"/>
      <w:szCs w:val="20"/>
    </w:rPr>
  </w:style>
  <w:style w:type="character" w:styleId="Hyperlink">
    <w:name w:val="Hyperlink"/>
    <w:rPr>
      <w:color w:val="0000FF"/>
      <w:u w:val="single"/>
    </w:rPr>
  </w:style>
  <w:style w:type="character" w:styleId="BalloonTextChar">
    <w:name w:val="Balloon Text Char"/>
    <w:basedOn w:val="DefaultParagraphFont"/>
    <w:qFormat/>
    <w:rPr>
      <w:rFonts w:ascii="Tahoma" w:hAnsi="Tahoma" w:eastAsia="Calibri" w:cs="Tahoma"/>
      <w:sz w:val="16"/>
      <w:szCs w:val="16"/>
    </w:rPr>
  </w:style>
  <w:style w:type="character" w:styleId="HeaderChar">
    <w:name w:val="Header Char"/>
    <w:basedOn w:val="DefaultParagraphFont"/>
    <w:qFormat/>
    <w:rPr>
      <w:rFonts w:ascii="Calibri" w:hAnsi="Calibri" w:eastAsia="Calibri" w:cs="Times New Roman"/>
    </w:rPr>
  </w:style>
  <w:style w:type="character" w:styleId="FooterChar">
    <w:name w:val="Footer Char"/>
    <w:basedOn w:val="DefaultParagraphFont"/>
    <w:qFormat/>
    <w:rPr>
      <w:rFonts w:ascii="Calibri" w:hAnsi="Calibri" w:eastAsia="Calibri" w:cs="Times New Roman"/>
    </w:rPr>
  </w:style>
  <w:style w:type="character" w:styleId="Heading1Char">
    <w:name w:val="Heading 1 Char"/>
    <w:basedOn w:val="DefaultParagraphFont"/>
    <w:qFormat/>
    <w:rPr>
      <w:rFonts w:ascii="Cambria" w:hAnsi="Cambria" w:eastAsia="Times New Roman" w:cs="Times New Roman"/>
      <w:b/>
      <w:bCs/>
      <w:kern w:val="2"/>
      <w:sz w:val="32"/>
      <w:szCs w:val="32"/>
      <w:lang w:eastAsia="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Times New Roman" w:cs="Times New Roman"/>
      <w:color w:val="auto"/>
      <w:kern w:val="0"/>
      <w:sz w:val="22"/>
      <w:szCs w:val="22"/>
      <w:lang w:val="en-US" w:eastAsia="en-US" w:bidi="ar-SA"/>
    </w:rPr>
  </w:style>
  <w:style w:type="paragraph" w:styleId="Title">
    <w:name w:val="Title"/>
    <w:basedOn w:val="Normal"/>
    <w:next w:val="BodyText"/>
    <w:qFormat/>
    <w:pPr>
      <w:overflowPunct w:val="true"/>
      <w:spacing w:lineRule="auto" w:line="240" w:before="0" w:after="0"/>
      <w:jc w:val="center"/>
      <w:textAlignment w:val="baseline"/>
    </w:pPr>
    <w:rPr>
      <w:rFonts w:ascii="Times New Roman" w:hAnsi="Times New Roman" w:eastAsia="Times New Roman" w:cs="Times New Roman"/>
      <w:b/>
      <w:sz w:val="36"/>
      <w:szCs w:val="20"/>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200"/>
      <w:ind w:hanging="0" w:left="720" w:right="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