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ListParagraph"/>
        <w:spacing w:lineRule="auto" w:line="240"/>
        <w:ind w:left="360" w:right="515" w:hanging="0"/>
        <w:rPr/>
      </w:pPr>
      <w:r>
        <w:rPr>
          <w:rFonts w:eastAsia="Calibri" w:cs="Calibri"/>
        </w:rPr>
        <w:t xml:space="preserve"> </w:t>
      </w:r>
      <w:r>
        <w:rPr>
          <w:rFonts w:eastAsia="Arial" w:cs="Arial"/>
        </w:rPr>
        <w:t xml:space="preserve"> </w:t>
      </w:r>
    </w:p>
    <w:p>
      <w:pPr>
        <w:pStyle w:val="Normal"/>
        <w:rPr/>
      </w:pPr>
      <w:r>
        <w:rPr/>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CHIEF EXECUTIVE’S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SENIOR CHANGE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the successful development, co-ordination and delivery of the Council’s transformation strategy, portfolio, programmes and relevant projects.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Corporate Programmes</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Line Management of Change Staff within the Change Unit</w:t>
            </w:r>
          </w:p>
          <w:p>
            <w:pPr>
              <w:pStyle w:val="Normal"/>
              <w:spacing w:lineRule="auto" w:line="240" w:before="0" w:after="0"/>
              <w:rPr>
                <w:rFonts w:ascii="Arial" w:hAnsi="Arial" w:cs="Arial"/>
              </w:rPr>
            </w:pPr>
            <w:r>
              <w:rPr>
                <w:rFonts w:cs="Arial" w:ascii="Arial" w:hAnsi="Arial"/>
              </w:rPr>
              <w:t>Up to 40 project staff as assigned.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rPr/>
            </w:pPr>
            <w:r>
              <w:rPr>
                <w:rFonts w:cs="Arial" w:ascii="Arial" w:hAnsi="Arial"/>
                <w:bCs/>
              </w:rPr>
              <w:t xml:space="preserve">Lead and manage a portfolio of complex and strategic </w:t>
            </w:r>
            <w:r>
              <w:rPr>
                <w:rFonts w:cs="Arial" w:ascii="Arial" w:hAnsi="Arial"/>
              </w:rPr>
              <w:t xml:space="preserve">change </w:t>
            </w:r>
            <w:r>
              <w:rPr>
                <w:rFonts w:cs="Arial" w:ascii="Arial" w:hAnsi="Arial"/>
                <w:bCs/>
              </w:rPr>
              <w:t xml:space="preserve">projects </w:t>
            </w:r>
            <w:r>
              <w:rPr>
                <w:rFonts w:cs="Arial" w:ascii="Arial" w:hAnsi="Arial"/>
              </w:rPr>
              <w:t xml:space="preserve">at organisational and (cross-) directorate level </w:t>
            </w:r>
            <w:r>
              <w:rPr>
                <w:rFonts w:cs="Arial" w:ascii="Arial" w:hAnsi="Arial"/>
                <w:bCs/>
              </w:rPr>
              <w:t xml:space="preserve">to ensure the timely delivery of transformation programmes, under the direction of the Head of Corporate Programmes. Ensure that all activity is designed to contribute to Council and Vision Partnership objectives and priorities.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Provide end-to-end consultancy support and guidance to project sponsors and Heads of Service within the transformation programmes, ensuring that a consistent, systems thinking approach to change management is taken.</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3</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Line manage staff within the Change Unit, including the Principal Change Officers and Business Analyst, coaching and supporting their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Lead and develop team members, including the Career Grade Change Manager and project staff, as appropriate, to achieve quality, timeliness and cost-effectiveness of delivery and reporting, ensuring that staff are consulted, empowered, valued and motivated.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 xml:space="preserve">Assist the Head of Corporate Programmes in supporting the development of the Career Grade Change Manager, taking an active part delivering training and mentoring the postholders in line with individual need and business requirements.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Lead on the development and deployment of Change Programme monitoring tools and software, joining up activity across the Programme, to support the Head of Service to manage this and other co-dependent programmes within the PMO. Monitor, track, evaluate and report on the realisation of project and programme level benefits within the transformation programmes.  Support colleagues and partners to develop and deliver these in line with the corporate change framework, the corporate business planning process, and organisational policies and best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Provide strategic and operational challenge to chief officers and heads of service, while supporting and guiding elected members, managers and staff as required, within a One Council context and with a relentless focus on our customers. Build internal and external networks and promote a positive, solution-focused approach.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Lead service managers through the end-to-end change process, providing analysis of change requirements using a range of data sources, and supporting the development of business cases that relate to the changes needed to solve strategic business problems. Mobilise and implement projects to generate improvements to service, cost efficiency and internal controls, and ensure that learning is captured and acted upon.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the Head of Corporate Programmes in managing the overall transformation programmes for Bolton Council, working with team members and colleagues, taking a flexible and collaborative approach to change delivery. Deputise for the Head of Service where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national, regional and sub-regional focus on sector-led transformation and collaboration, and the achievement of better value for money and innovation.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Keep abreast of policy and legislative changes, best practice and innovation around modernised public service delivery, including through networking, research and personal development activity, and share this as appropriate.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Be responsible for the financial management of revenue and capital budgets associated with projects being managed. Lead the analysis, design and management of organisational and service budgets to achieve financial benefits and efficiencies, working with sponsors and finance colleagues, both medium and long term. Ensure maximum value for money, including exploiting any opportunities to generate additional funding and income, preventing overspend, and generating cost efficiencies. Advise the project sponsors on procurement requirements in relation to the existing and future service design, to ensure that appropriate provision and value for money is obtained and implemented in full.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Ensure that all activities comply with Standing Orders, Financial Regulations and Codes of Practice as relevant to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Lead on the development, refresh and delivery of change management training to colleagues in a range of roles across the council, to establish and embed a standardised approach, using common tools and templates. Support an organisation-wide network of staff delivering change, to share best practice and learning, and provide mentoring and coaching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Undertake any other duties as required by the service’s response to business need.</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April 2026</w:t>
            </w:r>
          </w:p>
        </w:tc>
      </w:tr>
      <w:tr>
        <w:trPr/>
        <w:tc>
          <w:tcPr>
            <w:tcW w:w="4572" w:type="dxa"/>
            <w:gridSpan w:val="2"/>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Cs/>
              </w:rPr>
            </w:pPr>
            <w:r>
              <w:rPr>
                <w:rFonts w:cs="Arial" w:ascii="Arial" w:hAnsi="Arial"/>
                <w:bCs/>
              </w:rPr>
              <w:t>Head of Transformation</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caps/>
              </w:rPr>
            </w:pPr>
            <w:r>
              <w:rPr>
                <w:rFonts w:cs="Arial" w:ascii="Arial" w:hAnsi="Arial"/>
                <w:b/>
                <w:caps/>
              </w:rPr>
              <w:t>CHIEF EXECUTIVE’S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SENIOR Change Manager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Excellent programme and project management skills and the ability to lead and manage others in the effective delivery of complex change programmes.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Application/Interview/Assessment</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 detailed understanding and knowledge of the political, leadership and management issues facing large and complex councils, and of the government’s transformation agenda for the public sector and local government in particular.</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Interview/Assessment</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The ability to think strategically and at system level, analyse complex issues and data from a variety of sources, and develop customer focused, joined up, practical, effective and sustainable solutions.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Excellent leadership and people management skills, and the ability to motivate and inspire people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Highly developed inter-personal and communication skills, and the ability to influence and engage effectively at the highest level with Members, Directors, partners and government agencies.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Demonstrable experience of successful delivery of end-to-end business reviews, including deployment of business process re-engineering tools e.g. LEAN, systems thinking, and rigorous evaluation.</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Commercial awareness and ability to develop robust business cases using a range of data sources. Experience of managing and advising on budgets.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Evidence of proactive and creative approach to problem solving, working in partnership with others to achieve this.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Excellent written and verbal communication skills and the ability to deliver effective presentations and write clear, concise and persuasive reports.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Interview/Assessment</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Fluency in Office 365 applications e.g. Microsoft Word, Excel, Teams, Planner, Power BI.</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Assessment</w:t>
            </w:r>
          </w:p>
        </w:tc>
      </w:tr>
      <w:tr>
        <w:trPr>
          <w:cantSplit w:val="true"/>
        </w:trPr>
        <w:tc>
          <w:tcPr>
            <w:tcW w:w="675" w:type="dxa"/>
            <w:tcBorders>
              <w:top w:val="single" w:sz="4" w:space="0" w:color="000000"/>
              <w:left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5811" w:type="dxa"/>
            <w:gridSpan w:val="5"/>
            <w:tcBorders>
              <w:top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589" w:type="dxa"/>
            <w:tcBorders>
              <w:top w:val="single" w:sz="4" w:space="0" w:color="000000"/>
              <w:left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Significant successful relevant experience at a senior level in an organisation of comparable scope and complexity.</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delivering large corporate, strategic projects in an organisation of comparable scope and complexity.</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Application/Interview/Assessment</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 relevant degree level qualification or equivalent experience.</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Will be required to work outside normal working hours occasionally to meet service demands.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Must be flexible and willing to travel to meet colleagues at various locations used by the organisation, including outside Bolton.</w:t>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p>
            <w:pPr>
              <w:pStyle w:val="Normal"/>
              <w:spacing w:before="120" w:after="120"/>
              <w:rPr>
                <w:rFonts w:ascii="Arial" w:hAnsi="Arial" w:cs="Arial"/>
              </w:rPr>
            </w:pPr>
            <w:r>
              <w:rPr>
                <w:rFonts w:cs="Arial" w:ascii="Arial" w:hAnsi="Arial"/>
              </w:rPr>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designing and delivering training to a range of stakeholders.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 project management qualification e.g. MSP, Prince 2</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 systems thinking practitioner apprenticeship Level 7 qualification or equivalent experience</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bl>
    <w:p>
      <w:pPr>
        <w:pStyle w:val="Normal"/>
        <w:rPr/>
      </w:pPr>
      <w:r>
        <w:rPr/>
      </w:r>
    </w:p>
    <w:p>
      <w:pPr>
        <w:pStyle w:val="Normal"/>
        <w:rPr/>
      </w:pPr>
      <w:r>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5" w:type="dxa"/>
            <w:tcBorders/>
            <w:shd w:fill="auto" w:val="clear"/>
          </w:tcPr>
          <w:p>
            <w:pPr>
              <w:pStyle w:val="Normal"/>
              <w:spacing w:lineRule="auto" w:line="240" w:before="0" w:after="0"/>
              <w:rPr>
                <w:rFonts w:ascii="Arial" w:hAnsi="Arial" w:cs="Arial"/>
                <w:bCs/>
              </w:rPr>
            </w:pPr>
            <w:r>
              <w:rPr>
                <w:rFonts w:cs="Arial" w:ascii="Arial" w:hAnsi="Arial"/>
                <w:bCs/>
              </w:rPr>
              <w:t>April 2026</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Cs/>
              </w:rPr>
            </w:pPr>
            <w:r>
              <w:rPr>
                <w:rFonts w:cs="Arial" w:ascii="Arial" w:hAnsi="Arial"/>
                <w:bCs/>
              </w:rPr>
              <w:t xml:space="preserve">Head of Transformation </w:t>
            </w:r>
          </w:p>
        </w:tc>
      </w:tr>
    </w:tbl>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0"/>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1"/>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2"/>
      <w:footerReference w:type="default" r:id="rId13"/>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2026</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2026</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2026</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2026-04-16T17:17:00Z</dcterms:created>
  <dc:creator>Johnson, Andrew</dc:creator>
  <dc:description/>
  <dc:language>en-US</dc:language>
  <cp:lastModifiedBy>Connell, Nicky</cp:lastModifiedBy>
  <cp:lastPrinted>1995-11-21T17:41:00Z</cp:lastPrinted>
  <dcterms:modified xsi:type="dcterms:W3CDTF">2026-04-16T17:17:00Z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3700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