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pPr>
      <w:r>
        <w:rPr/>
      </w:r>
    </w:p>
    <w:p>
      <w:pPr>
        <w:pStyle w:val="Normal"/>
        <w:jc w:val="center"/>
        <w:rPr>
          <w:lang w:eastAsia="en-US"/>
        </w:rPr>
      </w:pPr>
      <w:r>
        <w:rPr>
          <w:lang w:eastAsia="en-US"/>
        </w:rPr>
        <w:drawing>
          <wp:anchor behindDoc="0" distT="0" distB="0" distL="0" distR="0" simplePos="0" locked="0" layoutInCell="1" allowOverlap="1" relativeHeight="2">
            <wp:simplePos x="0" y="0"/>
            <wp:positionH relativeFrom="column">
              <wp:posOffset>5577840</wp:posOffset>
            </wp:positionH>
            <wp:positionV relativeFrom="paragraph">
              <wp:posOffset>-443865</wp:posOffset>
            </wp:positionV>
            <wp:extent cx="1209675" cy="62230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20" r="-11" b="-20"/>
                    <a:stretch>
                      <a:fillRect/>
                    </a:stretch>
                  </pic:blipFill>
                  <pic:spPr bwMode="auto">
                    <a:xfrm>
                      <a:off x="0" y="0"/>
                      <a:ext cx="1209675" cy="622300"/>
                    </a:xfrm>
                    <a:prstGeom prst="rect">
                      <a:avLst/>
                    </a:prstGeom>
                  </pic:spPr>
                </pic:pic>
              </a:graphicData>
            </a:graphic>
          </wp:anchor>
        </w:drawing>
      </w:r>
    </w:p>
    <w:p>
      <w:pPr>
        <w:pStyle w:val="Heading2"/>
        <w:ind w:hanging="0" w:left="0"/>
        <w:jc w:val="center"/>
        <w:rPr>
          <w:lang w:val="en-GB" w:eastAsia="en-US"/>
        </w:rPr>
      </w:pPr>
      <w:r>
        <w:rPr>
          <w:lang w:val="en-GB" w:eastAsia="en-US"/>
        </w:rPr>
      </w:r>
    </w:p>
    <w:p>
      <w:pPr>
        <w:pStyle w:val="Normal"/>
        <w:jc w:val="center"/>
        <w:rPr>
          <w:b/>
          <w:bCs/>
          <w:sz w:val="28"/>
          <w:lang w:eastAsia="en-US"/>
        </w:rPr>
      </w:pPr>
      <w:r>
        <w:rPr>
          <w:b/>
          <w:bCs/>
          <w:sz w:val="28"/>
          <w:lang w:eastAsia="en-US"/>
        </w:rPr>
        <w:t>Grosvenor Nursery School and Day Care Centre</w:t>
      </w:r>
    </w:p>
    <w:p>
      <w:pPr>
        <w:pStyle w:val="Normal"/>
        <w:jc w:val="center"/>
        <w:rPr>
          <w:b/>
          <w:bCs/>
          <w:sz w:val="28"/>
          <w:lang w:eastAsia="en-US"/>
        </w:rPr>
      </w:pPr>
      <w:r>
        <w:rPr>
          <w:b/>
          <w:bCs/>
          <w:sz w:val="28"/>
          <w:lang w:eastAsia="en-US"/>
        </w:rPr>
        <w:t>Assistant Headteacher Person Specification</w:t>
      </w:r>
    </w:p>
    <w:p>
      <w:pPr>
        <w:pStyle w:val="Normal"/>
        <w:rPr/>
      </w:pPr>
      <w:r>
        <w:rPr/>
      </w:r>
    </w:p>
    <w:p>
      <w:pPr>
        <w:pStyle w:val="Normal"/>
        <w:jc w:val="center"/>
        <w:rPr>
          <w:b/>
          <w:bCs/>
          <w:i/>
          <w:i/>
          <w:szCs w:val="24"/>
        </w:rPr>
      </w:pPr>
      <w:r>
        <w:rPr>
          <w:b/>
          <w:bCs/>
          <w:i/>
          <w:szCs w:val="24"/>
        </w:rPr>
        <w:t>Candidates must meet all essential criteria to be considered for appointment</w:t>
      </w:r>
    </w:p>
    <w:p>
      <w:pPr>
        <w:pStyle w:val="Normal"/>
        <w:jc w:val="center"/>
        <w:rPr>
          <w:b/>
          <w:szCs w:val="24"/>
        </w:rPr>
      </w:pPr>
      <w:r>
        <w:rPr>
          <w:b/>
          <w:szCs w:val="24"/>
        </w:rPr>
        <w:t>(Source key: A = Application, I = Interview, R = Reference, AC = Assessment Centre)</w:t>
      </w:r>
    </w:p>
    <w:p>
      <w:pPr>
        <w:pStyle w:val="Normal"/>
        <w:rPr>
          <w:sz w:val="22"/>
          <w:szCs w:val="22"/>
        </w:rPr>
      </w:pPr>
      <w:r>
        <w:rPr>
          <w:sz w:val="22"/>
          <w:szCs w:val="22"/>
        </w:rPr>
      </w:r>
    </w:p>
    <w:p>
      <w:pPr>
        <w:pStyle w:val="Normal"/>
        <w:rPr>
          <w:b/>
          <w:sz w:val="22"/>
          <w:szCs w:val="22"/>
        </w:rPr>
      </w:pPr>
      <w:r>
        <w:rPr>
          <w:b/>
          <w:sz w:val="22"/>
          <w:szCs w:val="22"/>
        </w:rPr>
      </w:r>
    </w:p>
    <w:tbl>
      <w:tblPr>
        <w:tblW w:w="10030" w:type="dxa"/>
        <w:jc w:val="left"/>
        <w:tblInd w:w="108" w:type="dxa"/>
        <w:tblLayout w:type="fixed"/>
        <w:tblCellMar>
          <w:top w:w="0" w:type="dxa"/>
          <w:left w:w="108" w:type="dxa"/>
          <w:bottom w:w="0" w:type="dxa"/>
          <w:right w:w="108" w:type="dxa"/>
        </w:tblCellMar>
      </w:tblPr>
      <w:tblGrid>
        <w:gridCol w:w="6524"/>
        <w:gridCol w:w="1182"/>
        <w:gridCol w:w="1208"/>
        <w:gridCol w:w="1116"/>
      </w:tblGrid>
      <w:tr>
        <w:trPr/>
        <w:tc>
          <w:tcPr>
            <w:tcW w:w="6524"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sz w:val="22"/>
                <w:szCs w:val="22"/>
              </w:rPr>
            </w:pPr>
            <w:r>
              <w:rPr>
                <w:b/>
                <w:sz w:val="22"/>
                <w:szCs w:val="22"/>
              </w:rPr>
              <w:t>Criteria</w:t>
            </w:r>
          </w:p>
        </w:tc>
        <w:tc>
          <w:tcPr>
            <w:tcW w:w="1182"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sz w:val="22"/>
                <w:szCs w:val="22"/>
              </w:rPr>
            </w:pPr>
            <w:r>
              <w:rPr>
                <w:b/>
                <w:sz w:val="22"/>
                <w:szCs w:val="22"/>
              </w:rPr>
              <w:t>Essential</w:t>
            </w:r>
          </w:p>
        </w:tc>
        <w:tc>
          <w:tcPr>
            <w:tcW w:w="1208"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sz w:val="22"/>
                <w:szCs w:val="22"/>
              </w:rPr>
            </w:pPr>
            <w:r>
              <w:rPr>
                <w:b/>
                <w:sz w:val="22"/>
                <w:szCs w:val="22"/>
              </w:rPr>
              <w:t>Desirable</w:t>
            </w:r>
          </w:p>
        </w:tc>
        <w:tc>
          <w:tcPr>
            <w:tcW w:w="1116"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b/>
                <w:sz w:val="22"/>
                <w:szCs w:val="22"/>
              </w:rPr>
            </w:pPr>
            <w:r>
              <w:rPr>
                <w:b/>
                <w:sz w:val="22"/>
                <w:szCs w:val="22"/>
              </w:rPr>
              <w:t>Source</w:t>
            </w:r>
          </w:p>
        </w:tc>
      </w:tr>
      <w:tr>
        <w:trPr/>
        <w:tc>
          <w:tcPr>
            <w:tcW w:w="6524" w:type="dxa"/>
            <w:tcBorders>
              <w:top w:val="single" w:sz="4" w:space="0" w:color="000000"/>
              <w:left w:val="single" w:sz="4" w:space="0" w:color="000000"/>
              <w:bottom w:val="single" w:sz="4" w:space="0" w:color="000000"/>
              <w:right w:val="single" w:sz="4" w:space="0" w:color="000000"/>
            </w:tcBorders>
          </w:tcPr>
          <w:p>
            <w:pPr>
              <w:pStyle w:val="ListParagraph"/>
              <w:numPr>
                <w:ilvl w:val="0"/>
                <w:numId w:val="2"/>
              </w:numPr>
              <w:rPr>
                <w:b/>
                <w:sz w:val="22"/>
                <w:szCs w:val="22"/>
              </w:rPr>
            </w:pPr>
            <w:r>
              <w:rPr>
                <w:b/>
                <w:sz w:val="22"/>
                <w:szCs w:val="22"/>
              </w:rPr>
              <w:t>Skills and Knowledge</w:t>
            </w:r>
          </w:p>
        </w:tc>
        <w:tc>
          <w:tcPr>
            <w:tcW w:w="1182" w:type="dxa"/>
            <w:tcBorders>
              <w:top w:val="single" w:sz="4" w:space="0" w:color="000000"/>
              <w:left w:val="single" w:sz="4" w:space="0" w:color="000000"/>
              <w:bottom w:val="single" w:sz="4" w:space="0" w:color="000000"/>
              <w:right w:val="single" w:sz="4" w:space="0" w:color="000000"/>
            </w:tcBorders>
          </w:tcPr>
          <w:p>
            <w:pPr>
              <w:pStyle w:val="Normal"/>
              <w:snapToGrid w:val="false"/>
              <w:rPr>
                <w:b/>
                <w:sz w:val="22"/>
                <w:szCs w:val="22"/>
              </w:rPr>
            </w:pPr>
            <w:r>
              <w:rPr>
                <w:b/>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A/I/AC</w:t>
            </w:r>
          </w:p>
        </w:tc>
      </w:tr>
      <w:tr>
        <w:trPr/>
        <w:tc>
          <w:tcPr>
            <w:tcW w:w="6524"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Early years specialist qualification</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Excellent knowledge and understanding of the EYFS Statutory Framework, current early education and childcare policy, SEND Code of Practice and Ofsted requirements.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lead, monitor and evaluate teaching, learning and assessment to secure high-quality outcomes for all children.</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analyse, interpret and use data effectively to drive continuous improvement and raise standards.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contribute to strategic leadership, self-evaluation and school development planning.</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lead, motivate, coach and develop staff through effective professional development opportunities.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Understanding of governance, strategic financial planning and their contribution to school improvement and children's outcomes.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Excellent written, verbal and digital communication skills.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Commitment to leading and developing high-quality indoor, outdoor and Forest School provision.</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b/>
                <w:color w:val="000000"/>
                <w:sz w:val="22"/>
                <w:szCs w:val="22"/>
              </w:rPr>
            </w:pPr>
            <w:r>
              <w:rPr>
                <w:b/>
                <w:color w:val="000000"/>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Knowledge and understanding of childcare provision management.</w:t>
            </w:r>
          </w:p>
        </w:tc>
        <w:tc>
          <w:tcPr>
            <w:tcW w:w="1182"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D</w:t>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bl>
    <w:p>
      <w:pPr>
        <w:pStyle w:val="Normal"/>
        <w:rPr>
          <w:b/>
          <w:sz w:val="22"/>
          <w:szCs w:val="22"/>
        </w:rPr>
      </w:pPr>
      <w:r>
        <w:rPr>
          <w:b/>
          <w:sz w:val="22"/>
          <w:szCs w:val="22"/>
        </w:rPr>
      </w:r>
    </w:p>
    <w:p>
      <w:pPr>
        <w:pStyle w:val="Normal"/>
        <w:rPr>
          <w:rFonts w:cs="Arial"/>
          <w:b/>
          <w:color w:val="000000"/>
          <w:sz w:val="22"/>
          <w:szCs w:val="22"/>
        </w:rPr>
      </w:pPr>
      <w:r>
        <w:rPr>
          <w:rFonts w:cs="Arial"/>
          <w:b/>
          <w:color w:val="000000"/>
          <w:sz w:val="22"/>
          <w:szCs w:val="22"/>
        </w:rPr>
      </w:r>
    </w:p>
    <w:tbl>
      <w:tblPr>
        <w:tblW w:w="10030" w:type="dxa"/>
        <w:jc w:val="left"/>
        <w:tblInd w:w="108" w:type="dxa"/>
        <w:tblLayout w:type="fixed"/>
        <w:tblCellMar>
          <w:top w:w="0" w:type="dxa"/>
          <w:left w:w="108" w:type="dxa"/>
          <w:bottom w:w="0" w:type="dxa"/>
          <w:right w:w="108" w:type="dxa"/>
        </w:tblCellMar>
      </w:tblPr>
      <w:tblGrid>
        <w:gridCol w:w="6524"/>
        <w:gridCol w:w="1182"/>
        <w:gridCol w:w="1208"/>
        <w:gridCol w:w="1116"/>
      </w:tblGrid>
      <w:tr>
        <w:trPr/>
        <w:tc>
          <w:tcPr>
            <w:tcW w:w="6524" w:type="dxa"/>
            <w:tcBorders>
              <w:top w:val="single" w:sz="4" w:space="0" w:color="000000"/>
              <w:left w:val="single" w:sz="4" w:space="0" w:color="000000"/>
              <w:bottom w:val="single" w:sz="4" w:space="0" w:color="000000"/>
              <w:right w:val="single" w:sz="4" w:space="0" w:color="000000"/>
            </w:tcBorders>
          </w:tcPr>
          <w:p>
            <w:pPr>
              <w:pStyle w:val="ListParagraph"/>
              <w:numPr>
                <w:ilvl w:val="0"/>
                <w:numId w:val="2"/>
              </w:numPr>
              <w:rPr>
                <w:rFonts w:cs="Arial"/>
                <w:b/>
                <w:bCs/>
                <w:color w:val="000000"/>
                <w:szCs w:val="24"/>
                <w:lang w:eastAsia="en-GB"/>
              </w:rPr>
            </w:pPr>
            <w:r>
              <w:rPr>
                <w:rFonts w:cs="Arial"/>
                <w:b/>
                <w:bCs/>
                <w:color w:val="000000"/>
                <w:szCs w:val="24"/>
                <w:lang w:eastAsia="en-GB"/>
              </w:rPr>
              <w:t>Personal Qualities</w:t>
            </w:r>
          </w:p>
        </w:tc>
        <w:tc>
          <w:tcPr>
            <w:tcW w:w="1182"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b/>
                <w:color w:val="000000"/>
                <w:sz w:val="22"/>
                <w:szCs w:val="22"/>
              </w:rPr>
            </w:pPr>
            <w:r>
              <w:rPr>
                <w:rFonts w:cs="Arial"/>
                <w:b/>
                <w:color w:val="000000"/>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b/>
                <w:color w:val="000000"/>
                <w:sz w:val="22"/>
                <w:szCs w:val="22"/>
              </w:rPr>
            </w:pPr>
            <w:r>
              <w:rPr>
                <w:rFonts w:cs="Arial"/>
                <w:b/>
                <w:color w:val="000000"/>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color w:val="000000"/>
                <w:sz w:val="22"/>
                <w:szCs w:val="22"/>
              </w:rPr>
            </w:pPr>
            <w:r>
              <w:rPr>
                <w:rFonts w:cs="Arial"/>
                <w:b/>
                <w:bCs/>
                <w:color w:val="000000"/>
                <w:sz w:val="22"/>
                <w:szCs w:val="22"/>
              </w:rPr>
              <w:t>A, I, AC</w:t>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inspire, motivate and empower others to achieve high standards.</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Commitment to the vision, values and educational philosophy of Grosvenor Nursery School.</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Ability to build and maintain positive relationships with children, families, staff, governors and external partners.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Demonstrates integrity, resilience, professionalism and acts as a positive role model.</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Strong organisational and time-management skills.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Commitment to equality, inclusion and continuous professional development.</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Cs w:val="24"/>
                <w:lang w:eastAsia="en-GB"/>
              </w:rPr>
            </w:pPr>
            <w:r>
              <w:rPr>
                <w:rFonts w:cs="Arial"/>
                <w:b/>
                <w:bCs/>
                <w:szCs w:val="24"/>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bl>
    <w:p>
      <w:pPr>
        <w:pStyle w:val="Normal"/>
        <w:rPr>
          <w:b/>
          <w:sz w:val="22"/>
          <w:szCs w:val="22"/>
        </w:rPr>
      </w:pPr>
      <w:r>
        <w:rPr>
          <w:b/>
          <w:sz w:val="22"/>
          <w:szCs w:val="22"/>
        </w:rPr>
      </w:r>
    </w:p>
    <w:p>
      <w:pPr>
        <w:pStyle w:val="Normal"/>
        <w:rPr>
          <w:b/>
          <w:sz w:val="22"/>
          <w:szCs w:val="22"/>
        </w:rPr>
      </w:pPr>
      <w:r>
        <w:rPr>
          <w:b/>
          <w:sz w:val="22"/>
          <w:szCs w:val="22"/>
        </w:rPr>
      </w:r>
    </w:p>
    <w:tbl>
      <w:tblPr>
        <w:tblW w:w="10030" w:type="dxa"/>
        <w:jc w:val="left"/>
        <w:tblInd w:w="108" w:type="dxa"/>
        <w:tblLayout w:type="fixed"/>
        <w:tblCellMar>
          <w:top w:w="0" w:type="dxa"/>
          <w:left w:w="108" w:type="dxa"/>
          <w:bottom w:w="0" w:type="dxa"/>
          <w:right w:w="108" w:type="dxa"/>
        </w:tblCellMar>
      </w:tblPr>
      <w:tblGrid>
        <w:gridCol w:w="6524"/>
        <w:gridCol w:w="1182"/>
        <w:gridCol w:w="1208"/>
        <w:gridCol w:w="1116"/>
      </w:tblGrid>
      <w:tr>
        <w:trPr/>
        <w:tc>
          <w:tcPr>
            <w:tcW w:w="6524" w:type="dxa"/>
            <w:tcBorders>
              <w:top w:val="single" w:sz="4" w:space="0" w:color="000000"/>
              <w:left w:val="single" w:sz="4" w:space="0" w:color="000000"/>
              <w:bottom w:val="single" w:sz="4" w:space="0" w:color="000000"/>
              <w:right w:val="single" w:sz="4" w:space="0" w:color="000000"/>
            </w:tcBorders>
          </w:tcPr>
          <w:p>
            <w:pPr>
              <w:pStyle w:val="ListParagraph"/>
              <w:numPr>
                <w:ilvl w:val="0"/>
                <w:numId w:val="2"/>
              </w:numPr>
              <w:rPr>
                <w:b/>
                <w:bCs/>
                <w:sz w:val="22"/>
                <w:szCs w:val="22"/>
              </w:rPr>
            </w:pPr>
            <w:r>
              <w:rPr>
                <w:b/>
                <w:bCs/>
                <w:sz w:val="22"/>
                <w:szCs w:val="22"/>
              </w:rPr>
              <w:t>Approach to Work</w:t>
            </w:r>
          </w:p>
        </w:tc>
        <w:tc>
          <w:tcPr>
            <w:tcW w:w="1182"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
                <w:bCs/>
                <w:color w:val="000000"/>
                <w:sz w:val="22"/>
                <w:szCs w:val="22"/>
              </w:rPr>
            </w:pPr>
            <w:r>
              <w:rPr>
                <w:b/>
                <w:bCs/>
                <w:color w:val="000000"/>
                <w:sz w:val="22"/>
                <w:szCs w:val="22"/>
              </w:rPr>
              <w:t>A, I</w:t>
            </w:r>
          </w:p>
        </w:tc>
      </w:tr>
      <w:tr>
        <w:trPr/>
        <w:tc>
          <w:tcPr>
            <w:tcW w:w="6524"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Commitment to achieving the best possible outcomes for children and their families.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Commitment to collaborative working with parents, carers, governors, the Local Authority and external agencies.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Commitment to safeguarding and promoting the welfare of children and young people.</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Ability to deputise for the Headteacher and undertake delegated leadership responsibilities in their absence.</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b/>
                <w:sz w:val="22"/>
                <w:szCs w:val="22"/>
              </w:rPr>
            </w:pPr>
            <w:r>
              <w:rPr>
                <w:b/>
                <w:sz w:val="22"/>
                <w:szCs w:val="22"/>
              </w:rPr>
            </w:r>
          </w:p>
        </w:tc>
      </w:tr>
    </w:tbl>
    <w:p>
      <w:pPr>
        <w:pStyle w:val="Normal"/>
        <w:rPr>
          <w:b/>
          <w:sz w:val="22"/>
          <w:szCs w:val="22"/>
        </w:rPr>
      </w:pPr>
      <w:r>
        <w:rPr>
          <w:b/>
          <w:sz w:val="22"/>
          <w:szCs w:val="22"/>
        </w:rPr>
      </w:r>
    </w:p>
    <w:tbl>
      <w:tblPr>
        <w:tblW w:w="10030" w:type="dxa"/>
        <w:jc w:val="left"/>
        <w:tblInd w:w="108" w:type="dxa"/>
        <w:tblLayout w:type="fixed"/>
        <w:tblCellMar>
          <w:top w:w="0" w:type="dxa"/>
          <w:left w:w="108" w:type="dxa"/>
          <w:bottom w:w="0" w:type="dxa"/>
          <w:right w:w="108" w:type="dxa"/>
        </w:tblCellMar>
      </w:tblPr>
      <w:tblGrid>
        <w:gridCol w:w="6524"/>
        <w:gridCol w:w="1182"/>
        <w:gridCol w:w="1208"/>
        <w:gridCol w:w="1116"/>
      </w:tblGrid>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b/>
                <w:bCs/>
                <w:sz w:val="22"/>
                <w:szCs w:val="22"/>
                <w:lang w:eastAsia="en-GB"/>
              </w:rPr>
            </w:pPr>
            <w:r>
              <w:rPr>
                <w:rFonts w:cs="Arial"/>
                <w:b/>
                <w:bCs/>
                <w:sz w:val="22"/>
                <w:szCs w:val="22"/>
                <w:lang w:eastAsia="en-GB"/>
              </w:rPr>
              <w:t>4. Experience, Qualifications and Training</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sz w:val="22"/>
                <w:szCs w:val="22"/>
                <w:lang w:eastAsia="en-GB"/>
              </w:rPr>
            </w:pPr>
            <w:r>
              <w:rPr>
                <w:rFonts w:cs="Arial"/>
                <w:b/>
                <w:bCs/>
                <w:sz w:val="22"/>
                <w:szCs w:val="22"/>
                <w:lang w:eastAsia="en-GB"/>
              </w:rPr>
              <w:t>A, I</w:t>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rPr>
                <w:rFonts w:cs="Arial"/>
                <w:sz w:val="22"/>
                <w:szCs w:val="22"/>
                <w:lang w:eastAsia="en-GB"/>
              </w:rPr>
            </w:pPr>
            <w:r>
              <w:rPr>
                <w:rFonts w:cs="Arial"/>
                <w:sz w:val="22"/>
                <w:szCs w:val="22"/>
                <w:lang w:eastAsia="en-GB"/>
              </w:rPr>
              <w:t>Qualified Teacher Status.</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rPr>
                <w:rFonts w:cs="Arial"/>
                <w:sz w:val="22"/>
                <w:szCs w:val="22"/>
                <w:lang w:eastAsia="en-GB"/>
              </w:rPr>
            </w:pPr>
            <w:r>
              <w:rPr>
                <w:rFonts w:cs="Arial"/>
                <w:sz w:val="22"/>
                <w:szCs w:val="22"/>
                <w:lang w:eastAsia="en-GB"/>
              </w:rPr>
              <w:t>Degree or equivalent qualification.</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Significant and successful teaching experience within the Early Years Foundation Stage.</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Successful leadership and management experience within an early years setting.</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Experience of school self-evaluation, development planning and leading school improvement initiatives.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Experience of policy development and implementation.</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Experience of planning and delivering professional development opportunities, including coaching and mentoring staff.</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Evidence of recent professional development relevant to senior leadership.</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Early Years Specialist qualification.</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sz w:val="22"/>
                <w:szCs w:val="22"/>
                <w:lang w:eastAsia="en-GB"/>
              </w:rPr>
            </w:pPr>
            <w:r>
              <w:rPr>
                <w:rFonts w:cs="Arial"/>
                <w:sz w:val="22"/>
                <w:szCs w:val="22"/>
                <w:lang w:eastAsia="en-GB"/>
              </w:rPr>
            </w:r>
          </w:p>
        </w:tc>
        <w:tc>
          <w:tcPr>
            <w:tcW w:w="1208"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D</w:t>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NPQSL, NPQEYL or equivalent leadership qualification.</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sz w:val="22"/>
                <w:szCs w:val="22"/>
                <w:lang w:eastAsia="en-GB"/>
              </w:rPr>
            </w:pPr>
            <w:r>
              <w:rPr>
                <w:rFonts w:cs="Arial"/>
                <w:sz w:val="22"/>
                <w:szCs w:val="22"/>
                <w:lang w:eastAsia="en-GB"/>
              </w:rPr>
            </w:r>
          </w:p>
        </w:tc>
        <w:tc>
          <w:tcPr>
            <w:tcW w:w="1208"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D</w:t>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Forest School Leader qualification.</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sz w:val="22"/>
                <w:szCs w:val="22"/>
                <w:lang w:eastAsia="en-GB"/>
              </w:rPr>
            </w:pPr>
            <w:r>
              <w:rPr>
                <w:rFonts w:cs="Arial"/>
                <w:sz w:val="22"/>
                <w:szCs w:val="22"/>
                <w:lang w:eastAsia="en-GB"/>
              </w:rPr>
            </w:r>
          </w:p>
        </w:tc>
        <w:tc>
          <w:tcPr>
            <w:tcW w:w="1208"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sz w:val="22"/>
                <w:szCs w:val="22"/>
              </w:rPr>
            </w:pPr>
            <w:r>
              <w:rPr>
                <w:rFonts w:cs="Arial"/>
                <w:b/>
                <w:sz w:val="22"/>
                <w:szCs w:val="22"/>
              </w:rPr>
              <w:t>D</w:t>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Willingness to undertake and successfully complete an appropriate Forest School qualification.</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sz w:val="22"/>
                <w:szCs w:val="22"/>
                <w:lang w:eastAsia="en-GB"/>
              </w:rPr>
            </w:pPr>
            <w:r>
              <w:rPr>
                <w:rFonts w:cs="Arial"/>
                <w:b/>
                <w:bCs/>
                <w:sz w:val="22"/>
                <w:szCs w:val="22"/>
                <w:lang w:eastAsia="en-GB"/>
              </w:rPr>
              <w:t>E</w:t>
            </w:r>
          </w:p>
        </w:tc>
        <w:tc>
          <w:tcPr>
            <w:tcW w:w="120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eastAsia="en-GB"/>
              </w:rPr>
            </w:pPr>
            <w:r>
              <w:rPr>
                <w:rFonts w:cs="Arial"/>
                <w:sz w:val="22"/>
                <w:szCs w:val="22"/>
                <w:lang w:eastAsia="en-GB"/>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lang w:eastAsia="en-GB"/>
              </w:rPr>
            </w:pPr>
            <w:r>
              <w:rPr>
                <w:rFonts w:cs="Arial"/>
                <w:b/>
                <w:sz w:val="22"/>
                <w:szCs w:val="22"/>
                <w:lang w:eastAsia="en-GB"/>
              </w:rPr>
            </w:r>
          </w:p>
        </w:tc>
      </w:tr>
    </w:tbl>
    <w:p>
      <w:pPr>
        <w:pStyle w:val="Normal"/>
        <w:rPr/>
      </w:pPr>
      <w:r>
        <w:rPr/>
      </w:r>
    </w:p>
    <w:tbl>
      <w:tblPr>
        <w:tblW w:w="10030" w:type="dxa"/>
        <w:jc w:val="left"/>
        <w:tblInd w:w="108" w:type="dxa"/>
        <w:tblLayout w:type="fixed"/>
        <w:tblCellMar>
          <w:top w:w="0" w:type="dxa"/>
          <w:left w:w="108" w:type="dxa"/>
          <w:bottom w:w="0" w:type="dxa"/>
          <w:right w:w="108" w:type="dxa"/>
        </w:tblCellMar>
      </w:tblPr>
      <w:tblGrid>
        <w:gridCol w:w="6524"/>
        <w:gridCol w:w="1182"/>
        <w:gridCol w:w="1208"/>
        <w:gridCol w:w="1116"/>
      </w:tblGrid>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b/>
                <w:bCs/>
                <w:sz w:val="22"/>
                <w:szCs w:val="22"/>
                <w:lang w:eastAsia="en-GB"/>
              </w:rPr>
            </w:pPr>
            <w:r>
              <w:rPr>
                <w:rFonts w:cs="Arial"/>
                <w:b/>
                <w:bCs/>
                <w:sz w:val="22"/>
                <w:szCs w:val="22"/>
                <w:lang w:eastAsia="en-GB"/>
              </w:rPr>
              <w:t>5. Corporate Competencies</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sz w:val="22"/>
                <w:szCs w:val="22"/>
                <w:lang w:eastAsia="en-GB"/>
              </w:rPr>
            </w:pPr>
            <w:r>
              <w:rPr>
                <w:rFonts w:cs="Arial"/>
                <w:b/>
                <w:bCs/>
                <w:sz w:val="22"/>
                <w:szCs w:val="22"/>
                <w:lang w:eastAsia="en-GB"/>
              </w:rPr>
              <w:t>A, I</w:t>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Promoting Equality and Diversity.</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 w:val="22"/>
                <w:szCs w:val="22"/>
                <w:lang w:eastAsia="en-GB"/>
              </w:rPr>
            </w:pPr>
            <w:r>
              <w:rPr>
                <w:rFonts w:cs="Arial"/>
                <w:b/>
                <w:bCs/>
                <w:sz w:val="22"/>
                <w:szCs w:val="22"/>
                <w:lang w:eastAsia="en-GB"/>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Customer Care.</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 w:val="22"/>
                <w:szCs w:val="22"/>
                <w:lang w:eastAsia="en-GB"/>
              </w:rPr>
            </w:pPr>
            <w:r>
              <w:rPr>
                <w:rFonts w:cs="Arial"/>
                <w:b/>
                <w:bCs/>
                <w:sz w:val="22"/>
                <w:szCs w:val="22"/>
                <w:lang w:eastAsia="en-GB"/>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Developing Self and Others.</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 w:val="22"/>
                <w:szCs w:val="22"/>
                <w:lang w:eastAsia="en-GB"/>
              </w:rPr>
            </w:pPr>
            <w:r>
              <w:rPr>
                <w:rFonts w:cs="Arial"/>
                <w:b/>
                <w:bCs/>
                <w:sz w:val="22"/>
                <w:szCs w:val="22"/>
                <w:lang w:eastAsia="en-GB"/>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r>
        <w:trPr/>
        <w:tc>
          <w:tcPr>
            <w:tcW w:w="652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cs="Arial"/>
                <w:sz w:val="22"/>
                <w:szCs w:val="22"/>
                <w:lang w:eastAsia="en-GB"/>
              </w:rPr>
            </w:pPr>
            <w:r>
              <w:rPr>
                <w:rFonts w:cs="Arial"/>
                <w:sz w:val="22"/>
                <w:szCs w:val="22"/>
                <w:lang w:eastAsia="en-GB"/>
              </w:rPr>
              <w:t>Safeguarding.</w:t>
            </w:r>
          </w:p>
        </w:tc>
        <w:tc>
          <w:tcPr>
            <w:tcW w:w="1182" w:type="dxa"/>
            <w:tcBorders>
              <w:top w:val="single" w:sz="4" w:space="0" w:color="000000"/>
              <w:left w:val="single" w:sz="4" w:space="0" w:color="000000"/>
              <w:bottom w:val="single" w:sz="4" w:space="0" w:color="000000"/>
              <w:right w:val="single" w:sz="4" w:space="0" w:color="000000"/>
            </w:tcBorders>
          </w:tcPr>
          <w:p>
            <w:pPr>
              <w:pStyle w:val="Normal"/>
              <w:jc w:val="center"/>
              <w:rPr>
                <w:rFonts w:cs="Arial"/>
                <w:b/>
                <w:bCs/>
                <w:sz w:val="22"/>
                <w:szCs w:val="22"/>
                <w:lang w:eastAsia="en-GB"/>
              </w:rPr>
            </w:pPr>
            <w:r>
              <w:rPr>
                <w:rFonts w:cs="Arial"/>
                <w:b/>
                <w:bCs/>
                <w:sz w:val="22"/>
                <w:szCs w:val="22"/>
                <w:lang w:eastAsia="en-GB"/>
              </w:rPr>
              <w:t>E</w:t>
            </w:r>
          </w:p>
        </w:tc>
        <w:tc>
          <w:tcPr>
            <w:tcW w:w="12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c>
          <w:tcPr>
            <w:tcW w:w="111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cs="Arial"/>
                <w:b/>
                <w:sz w:val="22"/>
                <w:szCs w:val="22"/>
              </w:rPr>
            </w:pPr>
            <w:r>
              <w:rPr>
                <w:rFonts w:cs="Arial"/>
                <w:b/>
                <w:sz w:val="22"/>
                <w:szCs w:val="22"/>
              </w:rPr>
            </w:r>
          </w:p>
        </w:tc>
      </w:tr>
    </w:tbl>
    <w:p>
      <w:pPr>
        <w:pStyle w:val="Normal"/>
        <w:rPr/>
      </w:pPr>
      <w:r>
        <w:rPr/>
      </w:r>
    </w:p>
    <w:tbl>
      <w:tblPr>
        <w:tblW w:w="10030" w:type="dxa"/>
        <w:jc w:val="left"/>
        <w:tblInd w:w="108" w:type="dxa"/>
        <w:tblLayout w:type="fixed"/>
        <w:tblCellMar>
          <w:top w:w="0" w:type="dxa"/>
          <w:left w:w="108" w:type="dxa"/>
          <w:bottom w:w="0" w:type="dxa"/>
          <w:right w:w="108" w:type="dxa"/>
        </w:tblCellMar>
      </w:tblPr>
      <w:tblGrid>
        <w:gridCol w:w="112"/>
        <w:gridCol w:w="8648"/>
        <w:gridCol w:w="992"/>
        <w:gridCol w:w="278"/>
      </w:tblGrid>
      <w:tr>
        <w:trPr/>
        <w:tc>
          <w:tcPr>
            <w:tcW w:w="10030" w:type="dxa"/>
            <w:gridSpan w:val="4"/>
            <w:tcBorders/>
          </w:tcPr>
          <w:p>
            <w:pPr>
              <w:pStyle w:val="Normal"/>
              <w:snapToGrid w:val="false"/>
              <w:rPr>
                <w:b/>
                <w:szCs w:val="24"/>
              </w:rPr>
            </w:pPr>
            <w:r>
              <w:rPr>
                <w:b/>
                <w:szCs w:val="24"/>
              </w:rPr>
            </w:r>
          </w:p>
        </w:tc>
      </w:tr>
      <w:tr>
        <w:trPr/>
        <w:tc>
          <w:tcPr>
            <w:tcW w:w="10030" w:type="dxa"/>
            <w:gridSpan w:val="4"/>
            <w:tcBorders/>
          </w:tcPr>
          <w:p>
            <w:pPr>
              <w:pStyle w:val="Normal"/>
              <w:snapToGrid w:val="false"/>
              <w:rPr>
                <w:b/>
                <w:szCs w:val="24"/>
              </w:rPr>
            </w:pPr>
            <w:r>
              <w:rPr>
                <w:b/>
                <w:szCs w:val="24"/>
              </w:rPr>
            </w:r>
          </w:p>
        </w:tc>
      </w:tr>
      <w:tr>
        <w:trPr/>
        <w:tc>
          <w:tcPr>
            <w:tcW w:w="112" w:type="dxa"/>
            <w:tcBorders/>
          </w:tcPr>
          <w:p>
            <w:pPr>
              <w:pStyle w:val="Normal"/>
              <w:snapToGrid w:val="false"/>
              <w:rPr>
                <w:b/>
                <w:szCs w:val="24"/>
              </w:rPr>
            </w:pPr>
            <w:r>
              <w:rPr>
                <w:b/>
                <w:szCs w:val="24"/>
              </w:rPr>
            </w:r>
          </w:p>
        </w:tc>
        <w:tc>
          <w:tcPr>
            <w:tcW w:w="8648" w:type="dxa"/>
            <w:tcBorders/>
          </w:tcPr>
          <w:p>
            <w:pPr>
              <w:pStyle w:val="Normal"/>
              <w:spacing w:before="60" w:after="120"/>
              <w:rPr>
                <w:b/>
                <w:bCs/>
                <w:sz w:val="22"/>
                <w:szCs w:val="22"/>
              </w:rPr>
            </w:pPr>
            <w:r>
              <w:rPr>
                <w:b/>
                <w:bCs/>
                <w:sz w:val="22"/>
                <w:szCs w:val="22"/>
              </w:rPr>
              <w:t>6. References</w:t>
            </w:r>
          </w:p>
        </w:tc>
        <w:tc>
          <w:tcPr>
            <w:tcW w:w="992" w:type="dxa"/>
            <w:tcBorders/>
          </w:tcPr>
          <w:p>
            <w:pPr>
              <w:pStyle w:val="Normal"/>
              <w:snapToGrid w:val="false"/>
              <w:spacing w:before="60" w:after="120"/>
              <w:jc w:val="center"/>
              <w:rPr>
                <w:b/>
                <w:sz w:val="22"/>
                <w:szCs w:val="22"/>
              </w:rPr>
            </w:pPr>
            <w:r>
              <w:rPr>
                <w:b/>
                <w:sz w:val="22"/>
                <w:szCs w:val="22"/>
              </w:rPr>
            </w:r>
          </w:p>
        </w:tc>
        <w:tc>
          <w:tcPr>
            <w:tcW w:w="278" w:type="dxa"/>
            <w:tcBorders/>
          </w:tcPr>
          <w:p>
            <w:pPr>
              <w:pStyle w:val="Normal"/>
              <w:snapToGrid w:val="false"/>
              <w:rPr>
                <w:b/>
                <w:sz w:val="22"/>
                <w:szCs w:val="22"/>
              </w:rPr>
            </w:pPr>
            <w:r>
              <w:rPr>
                <w:b/>
                <w:sz w:val="22"/>
                <w:szCs w:val="22"/>
              </w:rPr>
            </w:r>
          </w:p>
        </w:tc>
      </w:tr>
      <w:tr>
        <w:trPr/>
        <w:tc>
          <w:tcPr>
            <w:tcW w:w="112" w:type="dxa"/>
            <w:tcBorders/>
          </w:tcPr>
          <w:p>
            <w:pPr>
              <w:pStyle w:val="Normal"/>
              <w:snapToGrid w:val="false"/>
              <w:rPr/>
            </w:pPr>
            <w:r>
              <w:rPr/>
            </w:r>
          </w:p>
        </w:tc>
        <w:tc>
          <w:tcPr>
            <w:tcW w:w="8648" w:type="dxa"/>
            <w:tcBorders/>
          </w:tcPr>
          <w:p>
            <w:pPr>
              <w:pStyle w:val="Normal"/>
              <w:spacing w:before="60" w:after="120"/>
              <w:rPr>
                <w:sz w:val="22"/>
                <w:szCs w:val="22"/>
              </w:rPr>
            </w:pPr>
            <w:r>
              <w:rPr>
                <w:sz w:val="22"/>
                <w:szCs w:val="22"/>
              </w:rPr>
              <w:t xml:space="preserve">Positive recommendation from all referees, including current employer </w:t>
            </w:r>
          </w:p>
        </w:tc>
        <w:tc>
          <w:tcPr>
            <w:tcW w:w="992" w:type="dxa"/>
            <w:tcBorders/>
          </w:tcPr>
          <w:p>
            <w:pPr>
              <w:pStyle w:val="Normal"/>
              <w:spacing w:before="60" w:after="120"/>
              <w:jc w:val="center"/>
              <w:rPr>
                <w:b/>
                <w:sz w:val="22"/>
                <w:szCs w:val="22"/>
              </w:rPr>
            </w:pPr>
            <w:r>
              <w:rPr>
                <w:b/>
                <w:sz w:val="22"/>
                <w:szCs w:val="22"/>
              </w:rPr>
              <w:t>E</w:t>
            </w:r>
          </w:p>
        </w:tc>
        <w:tc>
          <w:tcPr>
            <w:tcW w:w="278" w:type="dxa"/>
            <w:tcBorders/>
          </w:tcPr>
          <w:p>
            <w:pPr>
              <w:pStyle w:val="Normal"/>
              <w:snapToGrid w:val="false"/>
              <w:rPr/>
            </w:pPr>
            <w:r>
              <w:rPr/>
            </w:r>
          </w:p>
        </w:tc>
      </w:tr>
    </w:tbl>
    <w:p>
      <w:pPr>
        <w:pStyle w:val="Normal"/>
        <w:rPr>
          <w:b/>
          <w:szCs w:val="24"/>
        </w:rPr>
      </w:pPr>
      <w:r>
        <w:rPr>
          <w:b/>
          <w:szCs w:val="24"/>
        </w:rPr>
      </w:r>
    </w:p>
    <w:p>
      <w:pPr>
        <w:pStyle w:val="Normal"/>
        <w:rPr>
          <w:b/>
          <w:szCs w:val="24"/>
        </w:rPr>
      </w:pPr>
      <w:r>
        <w:rPr>
          <w:b/>
          <w:szCs w:val="24"/>
        </w:rPr>
      </w:r>
    </w:p>
    <w:p>
      <w:pPr>
        <w:pStyle w:val="Normal"/>
        <w:rPr>
          <w:b/>
          <w:szCs w:val="24"/>
        </w:rPr>
      </w:pPr>
      <w:r>
        <w:rPr>
          <w:b/>
          <w:szCs w:val="24"/>
        </w:rPr>
        <w:t>Application Form and Supporting Statement</w:t>
      </w:r>
    </w:p>
    <w:p>
      <w:pPr>
        <w:pStyle w:val="Normal"/>
        <w:rPr>
          <w:i/>
          <w:i/>
          <w:sz w:val="22"/>
          <w:szCs w:val="22"/>
        </w:rPr>
      </w:pPr>
      <w:r>
        <w:rPr>
          <w:i/>
          <w:sz w:val="22"/>
          <w:szCs w:val="22"/>
        </w:rPr>
      </w:r>
    </w:p>
    <w:p>
      <w:pPr>
        <w:pStyle w:val="Normal"/>
        <w:rPr>
          <w:b/>
          <w:bCs/>
          <w:sz w:val="22"/>
          <w:szCs w:val="22"/>
        </w:rPr>
      </w:pPr>
      <w:r>
        <w:rPr>
          <w:b/>
          <w:bCs/>
          <w:sz w:val="22"/>
          <w:szCs w:val="22"/>
        </w:rPr>
        <w:t>Candidates must complete the application form in full and submit a supporting statement of no more than three sides of A4 (Arial 11pt). The supporting statement should provide evidence of how the candidate meets the essential requirements of the role and address any relevant desirable criteria contained within this person specification.</w:t>
      </w:r>
    </w:p>
    <w:p>
      <w:pPr>
        <w:pStyle w:val="Normal"/>
        <w:rPr/>
      </w:pPr>
      <w:r>
        <w:rPr/>
      </w:r>
    </w:p>
    <w:sectPr>
      <w:headerReference w:type="default" r:id="rId3"/>
      <w:type w:val="nextPage"/>
      <w:pgSz w:w="11906" w:h="16838"/>
      <w:pgMar w:left="720" w:right="720" w:gutter="0" w:header="708" w:top="765"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sz w:val="28"/>
      <w:lang w:val="en-US" w:eastAsia="en-US"/>
    </w:rPr>
  </w:style>
  <w:style w:type="paragraph" w:styleId="Heading2">
    <w:name w:val="Heading 2"/>
    <w:basedOn w:val="Normal"/>
    <w:next w:val="Normal"/>
    <w:qFormat/>
    <w:pPr>
      <w:keepNext w:val="true"/>
      <w:numPr>
        <w:ilvl w:val="1"/>
        <w:numId w:val="1"/>
      </w:numPr>
      <w:outlineLvl w:val="1"/>
    </w:pPr>
    <w:rPr>
      <w:b/>
      <w:sz w:val="28"/>
      <w:lang w:val="en-US" w:eastAsia="en-US"/>
    </w:rPr>
  </w:style>
  <w:style w:type="paragraph" w:styleId="Heading4">
    <w:name w:val="Heading 4"/>
    <w:basedOn w:val="Normal"/>
    <w:next w:val="Normal"/>
    <w:qFormat/>
    <w:pPr>
      <w:keepNext w:val="true"/>
      <w:numPr>
        <w:ilvl w:val="3"/>
        <w:numId w:val="1"/>
      </w:numPr>
      <w:jc w:val="right"/>
      <w:outlineLvl w:val="3"/>
    </w:pPr>
    <w:rPr>
      <w:b/>
      <w:lang w:val="en-US" w:eastAsia="en-US"/>
    </w:rPr>
  </w:style>
  <w:style w:type="paragraph" w:styleId="Heading5">
    <w:name w:val="Heading 5"/>
    <w:basedOn w:val="Normal"/>
    <w:next w:val="Normal"/>
    <w:qFormat/>
    <w:pPr>
      <w:keepNext w:val="true"/>
      <w:numPr>
        <w:ilvl w:val="4"/>
        <w:numId w:val="1"/>
      </w:numPr>
      <w:jc w:val="right"/>
      <w:outlineLvl w:val="4"/>
    </w:pPr>
    <w:rPr>
      <w:b/>
      <w:sz w:val="20"/>
      <w:lang w:val="en-US" w:eastAsia="en-US"/>
    </w:rPr>
  </w:style>
  <w:style w:type="character" w:styleId="DefaultParagraphFont">
    <w:name w:val="Default Paragraph Font"/>
    <w:qFormat/>
    <w:rPr/>
  </w:style>
  <w:style w:type="character" w:styleId="Heading1Char">
    <w:name w:val="Heading 1 Char"/>
    <w:qFormat/>
    <w:rPr>
      <w:rFonts w:ascii="Arial" w:hAnsi="Arial" w:eastAsia="Times New Roman" w:cs="Times New Roman"/>
      <w:b/>
      <w:sz w:val="28"/>
      <w:szCs w:val="20"/>
    </w:rPr>
  </w:style>
  <w:style w:type="character" w:styleId="Heading2Char">
    <w:name w:val="Heading 2 Char"/>
    <w:qFormat/>
    <w:rPr>
      <w:rFonts w:ascii="Arial" w:hAnsi="Arial" w:eastAsia="Times New Roman" w:cs="Times New Roman"/>
      <w:b/>
      <w:sz w:val="28"/>
      <w:szCs w:val="20"/>
    </w:rPr>
  </w:style>
  <w:style w:type="character" w:styleId="Heading4Char">
    <w:name w:val="Heading 4 Char"/>
    <w:qFormat/>
    <w:rPr>
      <w:rFonts w:ascii="Arial" w:hAnsi="Arial" w:eastAsia="Times New Roman" w:cs="Times New Roman"/>
      <w:b/>
      <w:sz w:val="24"/>
      <w:szCs w:val="20"/>
    </w:rPr>
  </w:style>
  <w:style w:type="character" w:styleId="Heading5Char">
    <w:name w:val="Heading 5 Char"/>
    <w:qFormat/>
    <w:rPr>
      <w:rFonts w:ascii="Arial" w:hAnsi="Arial" w:eastAsia="Times New Roman" w:cs="Times New Roman"/>
      <w:b/>
      <w:szCs w:val="20"/>
    </w:rPr>
  </w:style>
  <w:style w:type="character" w:styleId="HeaderChar">
    <w:name w:val="Header Char"/>
    <w:qFormat/>
    <w:rPr>
      <w:rFonts w:ascii="Arial" w:hAnsi="Arial" w:eastAsia="Times New Roman" w:cs="Times New Roman"/>
      <w:sz w:val="24"/>
      <w:szCs w:val="20"/>
    </w:rPr>
  </w:style>
  <w:style w:type="character" w:styleId="FooterChar">
    <w:name w:val="Footer Char"/>
    <w:qFormat/>
    <w:rPr>
      <w:rFonts w:ascii="Arial" w:hAnsi="Arial" w:eastAsia="Times New Roman" w:cs="Times New Roman"/>
      <w:sz w:val="24"/>
      <w:szCs w:val="20"/>
    </w:rPr>
  </w:style>
  <w:style w:type="character" w:styleId="BalloonTextChar">
    <w:name w:val="Balloon Text Char"/>
    <w:qFormat/>
    <w:rPr>
      <w:rFonts w:ascii="Tahoma" w:hAnsi="Tahoma" w:eastAsia="Times New Roman" w:cs="Tahoma"/>
      <w:sz w:val="16"/>
      <w:szCs w:val="16"/>
      <w:lang w:eastAsia="en-U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eastAsia="Times New Roman" w:cs="Arial"/>
      <w:lang w:eastAsia="en-US"/>
    </w:rPr>
  </w:style>
  <w:style w:type="character" w:styleId="CommentSubjectChar">
    <w:name w:val="Comment Subject Char"/>
    <w:basedOn w:val="CommentTextChar"/>
    <w:qFormat/>
    <w:rPr>
      <w:rFonts w:ascii="Arial" w:hAnsi="Arial" w:eastAsia="Times New Roman" w:cs="Arial"/>
      <w:b/>
      <w:bCs/>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lang w:val="en-US" w:eastAsia="en-US"/>
    </w:rPr>
  </w:style>
  <w:style w:type="paragraph" w:styleId="Footer">
    <w:name w:val="Footer"/>
    <w:basedOn w:val="Normal"/>
    <w:pPr>
      <w:tabs>
        <w:tab w:val="clear" w:pos="720"/>
        <w:tab w:val="center" w:pos="4513" w:leader="none"/>
        <w:tab w:val="right" w:pos="9026" w:leader="none"/>
      </w:tabs>
    </w:pPr>
    <w:rPr>
      <w:lang w:val="en-US" w:eastAsia="en-US"/>
    </w:rPr>
  </w:style>
  <w:style w:type="paragraph" w:styleId="BalloonText">
    <w:name w:val="Balloon Text"/>
    <w:basedOn w:val="Normal"/>
    <w:qFormat/>
    <w:pPr/>
    <w:rPr>
      <w:rFonts w:ascii="Tahoma" w:hAnsi="Tahoma" w:cs="Tahoma"/>
      <w:sz w:val="16"/>
      <w:szCs w:val="16"/>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ListParagraph">
    <w:name w:val="List Paragraph"/>
    <w:basedOn w:val="Normal"/>
    <w:qFormat/>
    <w:pPr>
      <w:spacing w:before="0" w:after="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