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r>
        <w:rPr/>
        <w:br/>
      </w:r>
    </w:p>
    <w:p>
      <w:pPr>
        <w:pStyle w:val="Normal"/>
        <w:rPr>
          <w:rFonts w:eastAsia="Calibri" w:cs="Calibri"/>
        </w:rPr>
      </w:pPr>
      <w:r>
        <w:rPr>
          <w:rFonts w:eastAsia="Calibri" w:cs="Calibri"/>
        </w:rPr>
        <w:t xml:space="preserve"> </w:t>
      </w:r>
    </w:p>
    <w:p>
      <w:pPr>
        <w:pStyle w:val="Heading1"/>
        <w:rPr/>
      </w:pPr>
      <w:r>
        <w:rPr>
          <w:b/>
          <w:bCs/>
          <w:color w:val="auto"/>
          <w:sz w:val="40"/>
          <w:szCs w:val="40"/>
        </w:rPr>
        <w:t>Job Description</w:t>
      </w:r>
      <w:r>
        <w:rPr>
          <w:b/>
          <w:bCs/>
          <w:sz w:val="40"/>
          <w:szCs w:val="40"/>
        </w:rPr>
        <w:t xml:space="preserve"> </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
                <w:b/>
              </w:rPr>
            </w:pPr>
            <w:r>
              <w:rPr>
                <w:rFonts w:cs="Arial" w:ascii="Arial" w:hAnsi="Arial"/>
                <w:b/>
              </w:rPr>
              <w:t>Children’s Services</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SEND Lead (School support &amp; inclusion)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I</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numPr>
                <w:ilvl w:val="0"/>
                <w:numId w:val="2"/>
              </w:numPr>
              <w:spacing w:lineRule="auto" w:line="240" w:before="0" w:after="0"/>
              <w:rPr>
                <w:rFonts w:ascii="Arial" w:hAnsi="Arial" w:eastAsia="Times New Roman" w:cs="Arial"/>
                <w:lang w:eastAsia="en-GB"/>
              </w:rPr>
            </w:pPr>
            <w:r>
              <w:rPr>
                <w:rFonts w:eastAsia="Times New Roman" w:cs="Arial" w:ascii="Arial" w:hAnsi="Arial"/>
                <w:lang w:eastAsia="en-GB"/>
              </w:rPr>
              <w:t>To support the Virtual School in improving outcomes for children with a social worker who have, or may have, Special Educational Needs and Disabilities (SEND), through a combination of casework, advice and guidance, and direct support to schools.</w:t>
            </w:r>
          </w:p>
          <w:p>
            <w:pPr>
              <w:pStyle w:val="Normal"/>
              <w:spacing w:lineRule="auto" w:line="240" w:before="0" w:after="0"/>
              <w:ind w:left="0" w:right="0" w:hanging="2880"/>
              <w:jc w:val="both"/>
              <w:rPr>
                <w:rFonts w:ascii="Arial" w:hAnsi="Arial" w:eastAsia="Times New Roman" w:cs="Arial"/>
              </w:rPr>
            </w:pPr>
            <w:r>
              <w:rPr>
                <w:rFonts w:eastAsia="Times New Roman" w:cs="Arial" w:ascii="Arial" w:hAnsi="Arial"/>
              </w:rPr>
            </w:r>
          </w:p>
          <w:p>
            <w:pPr>
              <w:pStyle w:val="Normal"/>
              <w:numPr>
                <w:ilvl w:val="0"/>
                <w:numId w:val="2"/>
              </w:numPr>
              <w:spacing w:lineRule="auto" w:line="240" w:before="0" w:after="0"/>
              <w:jc w:val="both"/>
              <w:rPr>
                <w:rFonts w:ascii="Arial" w:hAnsi="Arial" w:eastAsia="Times New Roman" w:cs="Arial"/>
              </w:rPr>
            </w:pPr>
            <w:r>
              <w:rPr>
                <w:rFonts w:eastAsia="Times New Roman" w:cs="Arial" w:ascii="Arial" w:hAnsi="Arial"/>
              </w:rPr>
              <w:t>The post-holder will hold a caseload of children and work with schools, colleagues and partners to support effective identification, provision and review of SEND via PEP meetings, with a particular focus on supporting children to remain engaged in education and have their needs met within school wherever possible.</w:t>
            </w:r>
          </w:p>
          <w:p>
            <w:pPr>
              <w:pStyle w:val="Normal"/>
              <w:spacing w:lineRule="auto" w:line="240" w:before="0" w:after="0"/>
              <w:rPr>
                <w:rFonts w:ascii="Arial" w:hAnsi="Arial" w:cs="Arial"/>
              </w:rPr>
            </w:pPr>
            <w:r>
              <w:rPr>
                <w:rFonts w:cs="Arial" w:ascii="Arial" w:hAnsi="Arial"/>
              </w:rPr>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Virtual School Head, Virtual School</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 xml:space="preserve">Joint management support – Apprentice </w:t>
            </w:r>
          </w:p>
        </w:tc>
      </w:tr>
    </w:tbl>
    <w:p>
      <w:pPr>
        <w:pStyle w:val="Normal"/>
        <w:spacing w:lineRule="auto" w:line="240" w:before="0" w:after="120"/>
        <w:rPr>
          <w:rFonts w:ascii="Arial" w:hAnsi="Arial" w:cs="Arial"/>
          <w:sz w:val="16"/>
          <w:szCs w:val="16"/>
        </w:rPr>
      </w:pPr>
      <w:r>
        <w:rPr>
          <w:rFonts w:cs="Arial" w:ascii="Arial" w:hAnsi="Arial"/>
          <w:sz w:val="16"/>
          <w:szCs w:val="16"/>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w:t>
            </w:r>
          </w:p>
        </w:tc>
        <w:tc>
          <w:tcPr>
            <w:tcW w:w="8829" w:type="dxa"/>
            <w:gridSpan w:val="2"/>
            <w:tcBorders/>
            <w:shd w:fill="auto" w:val="clear"/>
          </w:tcPr>
          <w:p>
            <w:pPr>
              <w:pStyle w:val="Normal"/>
              <w:spacing w:lineRule="auto" w:line="240" w:before="0" w:after="0"/>
              <w:rPr>
                <w:rFonts w:ascii="Arial" w:hAnsi="Arial" w:cs="Arial"/>
                <w:szCs w:val="24"/>
              </w:rPr>
            </w:pPr>
            <w:r>
              <w:rPr>
                <w:rFonts w:cs="Arial" w:ascii="Arial" w:hAnsi="Arial"/>
                <w:szCs w:val="24"/>
              </w:rPr>
              <w:t xml:space="preserve">The post holder will hold and manage a caseload of children with SEND, providing advice and guidance on SEN Support, EHCP processes where appropriate. They will also have responsibility for offering advice and guidance for children on Child Protection Plans or at Child in Need, regularly liaising with Head Teachers, SENCOs, carers, senior managers, and officers in other Local Authorities.  </w:t>
            </w:r>
          </w:p>
          <w:p>
            <w:pPr>
              <w:pStyle w:val="Normal"/>
              <w:spacing w:lineRule="auto" w:line="240" w:before="0" w:after="0"/>
              <w:rPr>
                <w:rFonts w:ascii="Arial" w:hAnsi="Arial" w:cs="Arial"/>
                <w:b/>
                <w:b/>
              </w:rPr>
            </w:pPr>
            <w:r>
              <w:rPr>
                <w:rFonts w:cs="Arial" w:ascii="Arial" w:hAnsi="Arial"/>
                <w:b/>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2</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The post holder will monitor individual cases via PEP meetings, following up actions and working with professionals to ensure that children’s needs are identified and effectively met.</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3</w:t>
            </w:r>
          </w:p>
        </w:tc>
        <w:tc>
          <w:tcPr>
            <w:tcW w:w="8829" w:type="dxa"/>
            <w:gridSpan w:val="2"/>
            <w:tcBorders/>
            <w:shd w:fill="auto" w:val="clear"/>
          </w:tcPr>
          <w:p>
            <w:pPr>
              <w:pStyle w:val="Normal"/>
              <w:spacing w:lineRule="auto" w:line="240" w:before="0" w:after="0"/>
              <w:rPr>
                <w:rFonts w:ascii="Arial" w:hAnsi="Arial" w:eastAsia="Times New Roman" w:cs="Arial"/>
                <w:lang w:val="en-US" w:eastAsia="en-GB"/>
              </w:rPr>
            </w:pPr>
            <w:r>
              <w:rPr>
                <w:rFonts w:eastAsia="Times New Roman" w:cs="Arial" w:ascii="Arial" w:hAnsi="Arial"/>
                <w:lang w:val="en-US" w:eastAsia="en-GB"/>
              </w:rPr>
              <w:t>To offer advice, information and guidance to children, young people, parents, carers, agencies and others on all matters relating to SEN for children and young people 0 -25 years who are looked after or previously looked after children.</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4</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The post holder will work with schools to support early identification of SEND and the implementation of appropriate strategies, reasonable adjustments and inclusive practices.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5</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The post holder will work collaboratively with colleagues across education, social care and partner agencies, including SEND services and Educational Psychology, to support coordinated approaches for children.</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6</w:t>
            </w:r>
          </w:p>
        </w:tc>
        <w:tc>
          <w:tcPr>
            <w:tcW w:w="8829" w:type="dxa"/>
            <w:gridSpan w:val="2"/>
            <w:tcBorders/>
            <w:shd w:fill="auto" w:val="clear"/>
          </w:tcPr>
          <w:p>
            <w:pPr>
              <w:pStyle w:val="Normal"/>
              <w:spacing w:lineRule="auto" w:line="240" w:before="0" w:after="0"/>
              <w:rPr>
                <w:rFonts w:ascii="Arial" w:hAnsi="Arial" w:eastAsia="Times New Roman" w:cs="Arial"/>
                <w:lang w:eastAsia="en-GB"/>
              </w:rPr>
            </w:pPr>
            <w:r>
              <w:rPr>
                <w:rFonts w:eastAsia="Times New Roman" w:cs="Arial" w:ascii="Arial" w:hAnsi="Arial"/>
                <w:lang w:eastAsia="en-GB"/>
              </w:rPr>
              <w:t>The post holder will identify children at risk of exclusion, placement breakdown or escalation to specialist provision, and work with schools and partners to implement appropriate support.</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7</w:t>
            </w:r>
          </w:p>
        </w:tc>
        <w:tc>
          <w:tcPr>
            <w:tcW w:w="8829" w:type="dxa"/>
            <w:gridSpan w:val="2"/>
            <w:tcBorders/>
            <w:shd w:fill="auto" w:val="clear"/>
          </w:tcPr>
          <w:p>
            <w:pPr>
              <w:pStyle w:val="Normal"/>
              <w:spacing w:lineRule="auto" w:line="240" w:before="0" w:after="0"/>
              <w:rPr>
                <w:rFonts w:ascii="Arial" w:hAnsi="Arial" w:eastAsia="Times New Roman" w:cs="Arial"/>
              </w:rPr>
            </w:pPr>
            <w:r>
              <w:rPr>
                <w:rFonts w:eastAsia="Times New Roman" w:cs="Arial" w:ascii="Arial" w:hAnsi="Arial"/>
              </w:rPr>
              <w:t>The post holder will support schools to address barriers to learning, including those linked to SEND, attendance, behaviour and emotional wellbeing, helping children to remain engaged in mainstream education where possible.</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8</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work with colleagues and schools to prevent the suspension of children with a social worker. To ensure complex issues are reported to the Virtual School Head (VSH) but take responsibility for finding appropriate solutions, liaising with relevant parties and following issues through to conclusion to ensure children’s needs are appropriately met.</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9</w:t>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Provide leadership of, develop, plan and deliver training on a wide variety of issues related to children with a social worker including attachment theory and trauma and associated strategies to schools, social workers, governors, carers and other stakeholders.</w:t>
            </w:r>
          </w:p>
        </w:tc>
      </w:tr>
      <w:tr>
        <w:trPr>
          <w:trHeight w:val="506" w:hRule="atLeast"/>
        </w:trPr>
        <w:tc>
          <w:tcPr>
            <w:tcW w:w="808" w:type="dxa"/>
            <w:tcBorders/>
            <w:shd w:fill="auto" w:val="clear"/>
          </w:tcPr>
          <w:p>
            <w:pPr>
              <w:pStyle w:val="Normal"/>
              <w:spacing w:lineRule="auto" w:line="240" w:before="0" w:after="0"/>
              <w:rPr>
                <w:rFonts w:ascii="Arial" w:hAnsi="Arial" w:cs="Arial"/>
                <w:b/>
                <w:b/>
              </w:rPr>
            </w:pPr>
            <w:r>
              <w:rPr>
                <w:rFonts w:cs="Arial" w:ascii="Arial" w:hAnsi="Arial"/>
                <w:b/>
              </w:rPr>
              <w:t>10</w:t>
            </w:r>
          </w:p>
        </w:tc>
        <w:tc>
          <w:tcPr>
            <w:tcW w:w="8829" w:type="dxa"/>
            <w:gridSpan w:val="2"/>
            <w:tcBorders/>
            <w:shd w:fill="auto" w:val="clear"/>
          </w:tcPr>
          <w:p>
            <w:pPr>
              <w:pStyle w:val="Normal"/>
              <w:spacing w:lineRule="auto" w:line="240" w:before="0" w:after="0"/>
              <w:jc w:val="both"/>
              <w:rPr>
                <w:rFonts w:ascii="Arial" w:hAnsi="Arial" w:cs="Arial"/>
              </w:rPr>
            </w:pPr>
            <w:r>
              <w:rPr>
                <w:rFonts w:cs="Arial" w:ascii="Arial" w:hAnsi="Arial"/>
              </w:rPr>
              <w:t xml:space="preserve">To undertake any other duties as required by the Head of Service that are commensurate with the grade of the post. </w:t>
            </w:r>
          </w:p>
          <w:p>
            <w:pPr>
              <w:pStyle w:val="Normal"/>
              <w:spacing w:lineRule="auto" w:line="240" w:before="0" w:after="0"/>
              <w:rPr>
                <w:rFonts w:ascii="Arial" w:hAnsi="Arial" w:cs="Arial"/>
              </w:rPr>
            </w:pPr>
            <w:r>
              <w:rPr>
                <w:rFonts w:cs="Arial" w:ascii="Arial" w:hAnsi="Arial"/>
              </w:rPr>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25/06/2026</w:t>
            </w:r>
          </w:p>
        </w:tc>
      </w:tr>
      <w:tr>
        <w:trPr/>
        <w:tc>
          <w:tcPr>
            <w:tcW w:w="4572" w:type="dxa"/>
            <w:gridSpan w:val="2"/>
            <w:tcBorders/>
            <w:shd w:fill="auto" w:val="clear"/>
          </w:tcPr>
          <w:p>
            <w:pPr>
              <w:pStyle w:val="Normal"/>
              <w:spacing w:lineRule="auto" w:line="240" w:before="0" w:after="0"/>
              <w:rPr>
                <w:rFonts w:ascii="Arial" w:hAnsi="Arial" w:cs="Arial"/>
                <w:b/>
                <w:b/>
              </w:rPr>
            </w:pPr>
            <w:r>
              <w:rPr>
                <w:rFonts w:cs="Arial" w:ascii="Arial" w:hAnsi="Arial"/>
                <w:b/>
              </w:rPr>
              <w:t>Job Description prepared by:</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Lindsay Nelson</w:t>
            </w:r>
          </w:p>
        </w:tc>
      </w:tr>
    </w:tbl>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Heading2"/>
        <w:rPr>
          <w:b/>
          <w:b/>
          <w:bCs/>
          <w:color w:val="auto"/>
          <w:sz w:val="40"/>
          <w:szCs w:val="40"/>
        </w:rPr>
      </w:pPr>
      <w:r>
        <w:rPr>
          <w:b/>
          <w:bCs/>
          <w:color w:val="auto"/>
          <w:sz w:val="40"/>
          <w:szCs w:val="40"/>
        </w:rPr>
        <w:t>Person Specification</w:t>
      </w:r>
    </w:p>
    <w:tbl>
      <w:tblPr>
        <w:tblW w:w="9638" w:type="dxa"/>
        <w:jc w:val="left"/>
        <w:tblInd w:w="0" w:type="dxa"/>
        <w:tblCellMar>
          <w:top w:w="0" w:type="dxa"/>
          <w:left w:w="108" w:type="dxa"/>
          <w:bottom w:w="0" w:type="dxa"/>
          <w:right w:w="108" w:type="dxa"/>
        </w:tblCellMar>
      </w:tblPr>
      <w:tblGrid>
        <w:gridCol w:w="646"/>
        <w:gridCol w:w="31"/>
        <w:gridCol w:w="918"/>
        <w:gridCol w:w="135"/>
        <w:gridCol w:w="4082"/>
        <w:gridCol w:w="374"/>
        <w:gridCol w:w="19"/>
        <w:gridCol w:w="3423"/>
        <w:gridCol w:w="10"/>
      </w:tblGrid>
      <w:tr>
        <w:trPr/>
        <w:tc>
          <w:tcPr>
            <w:tcW w:w="1595" w:type="dxa"/>
            <w:gridSpan w:val="3"/>
            <w:tcBorders/>
            <w:shd w:fill="auto" w:val="clear"/>
          </w:tcPr>
          <w:p>
            <w:pPr>
              <w:pStyle w:val="Normal"/>
              <w:spacing w:lineRule="auto" w:line="240" w:before="60" w:after="60"/>
              <w:rPr>
                <w:rFonts w:ascii="Arial" w:hAnsi="Arial" w:cs="Arial"/>
                <w:b/>
                <w:b/>
              </w:rPr>
            </w:pPr>
            <w:r>
              <w:rPr>
                <w:rFonts w:cs="Arial" w:ascii="Arial" w:hAnsi="Arial"/>
                <w:b/>
              </w:rPr>
              <w:t>Department</w:t>
            </w:r>
          </w:p>
        </w:tc>
        <w:tc>
          <w:tcPr>
            <w:tcW w:w="8033" w:type="dxa"/>
            <w:gridSpan w:val="5"/>
            <w:tcBorders/>
            <w:shd w:fill="auto" w:val="clear"/>
          </w:tcPr>
          <w:p>
            <w:pPr>
              <w:pStyle w:val="Normal"/>
              <w:spacing w:lineRule="auto" w:line="240" w:before="60" w:after="60"/>
              <w:rPr>
                <w:rFonts w:ascii="Arial" w:hAnsi="Arial" w:cs="Arial"/>
                <w:b/>
                <w:b/>
                <w:caps/>
              </w:rPr>
            </w:pPr>
            <w:r>
              <w:rPr>
                <w:rFonts w:cs="Arial" w:ascii="Arial" w:hAnsi="Arial"/>
                <w:b/>
                <w:caps/>
              </w:rPr>
              <w:t xml:space="preserve">CHILDREN’S SERVICES – VIRTUAL SCHOOL </w:t>
            </w:r>
          </w:p>
        </w:tc>
      </w:tr>
      <w:tr>
        <w:trPr/>
        <w:tc>
          <w:tcPr>
            <w:tcW w:w="1595" w:type="dxa"/>
            <w:gridSpan w:val="3"/>
            <w:tcBorders>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Job Title</w:t>
            </w:r>
          </w:p>
        </w:tc>
        <w:tc>
          <w:tcPr>
            <w:tcW w:w="8033" w:type="dxa"/>
            <w:gridSpan w:val="5"/>
            <w:tcBorders>
              <w:bottom w:val="single" w:sz="4" w:space="0" w:color="000000"/>
            </w:tcBorders>
            <w:shd w:fill="auto" w:val="clear"/>
          </w:tcPr>
          <w:p>
            <w:pPr>
              <w:pStyle w:val="Normal"/>
              <w:spacing w:lineRule="auto" w:line="240" w:before="60" w:after="60"/>
              <w:rPr>
                <w:rFonts w:cs="Arial"/>
                <w:b/>
                <w:b/>
                <w:caps/>
              </w:rPr>
            </w:pPr>
            <w:r>
              <w:rPr>
                <w:rFonts w:cs="Arial"/>
                <w:b/>
                <w:caps/>
              </w:rPr>
              <w:t>sEND lEAD – sCHOOL SUPPORT &amp; INCLUSION</w:t>
            </w:r>
          </w:p>
        </w:tc>
      </w:tr>
      <w:tr>
        <w:trPr/>
        <w:tc>
          <w:tcPr>
            <w:tcW w:w="1595" w:type="dxa"/>
            <w:gridSpan w:val="3"/>
            <w:tcBorders>
              <w:top w:val="single" w:sz="4" w:space="0" w:color="000000"/>
              <w:left w:val="single" w:sz="4" w:space="0" w:color="000000"/>
              <w:bottom w:val="single" w:sz="4" w:space="0" w:color="000000"/>
            </w:tcBorders>
            <w:shd w:fill="auto" w:val="clear"/>
          </w:tcPr>
          <w:p>
            <w:pPr>
              <w:pStyle w:val="Normal"/>
              <w:spacing w:lineRule="auto" w:line="240" w:before="60" w:after="240"/>
              <w:rPr>
                <w:rFonts w:ascii="Arial" w:hAnsi="Arial" w:cs="Arial"/>
                <w:b/>
                <w:b/>
              </w:rPr>
            </w:pPr>
            <w:r>
              <w:rPr>
                <w:rFonts w:cs="Arial" w:ascii="Arial" w:hAnsi="Arial"/>
                <w:b/>
              </w:rPr>
              <w:t>Stage One</w:t>
            </w:r>
          </w:p>
        </w:tc>
        <w:tc>
          <w:tcPr>
            <w:tcW w:w="8043" w:type="dxa"/>
            <w:gridSpan w:val="5"/>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60" w:after="60"/>
              <w:rPr/>
            </w:pPr>
            <w:r>
              <w:rPr>
                <w:rFonts w:cs="Arial" w:ascii="Arial" w:hAnsi="Arial"/>
                <w:bCs/>
              </w:rPr>
              <w:t xml:space="preserve">Candidates who are care leavers, have a disability, are ex-armed forces or are a carer (see </w:t>
            </w:r>
            <w:r>
              <w:rPr>
                <w:rStyle w:val="InternetLink"/>
              </w:rPr>
              <w:t>carers-charter-final.pdf</w:t>
            </w:r>
            <w:r>
              <w:rPr/>
              <w:t xml:space="preserve">) </w:t>
            </w:r>
            <w:r>
              <w:rPr>
                <w:rFonts w:cs="Arial" w:ascii="Arial" w:hAnsi="Arial"/>
                <w:bCs/>
              </w:rPr>
              <w:t xml:space="preserve">are guaranteed an interview if they meet the essential criteria for the role </w:t>
            </w:r>
          </w:p>
        </w:tc>
      </w:tr>
      <w:tr>
        <w:trPr/>
        <w:tc>
          <w:tcPr>
            <w:tcW w:w="6205" w:type="dxa"/>
            <w:gridSpan w:val="7"/>
            <w:tcBorders>
              <w:top w:val="single" w:sz="4" w:space="0" w:color="000000"/>
              <w:lef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The Minimum Essential Requirements for the above Post are as Follows:</w:t>
            </w:r>
          </w:p>
        </w:tc>
        <w:tc>
          <w:tcPr>
            <w:tcW w:w="3433" w:type="dxa"/>
            <w:tcBorders>
              <w:top w:val="single" w:sz="4" w:space="0" w:color="000000"/>
              <w:left w:val="single" w:sz="4" w:space="0" w:color="000000"/>
              <w:right w:val="single" w:sz="4" w:space="0" w:color="000000"/>
            </w:tcBorders>
            <w:shd w:fill="000000" w:val="clear"/>
          </w:tcPr>
          <w:p>
            <w:pPr>
              <w:pStyle w:val="Normal"/>
              <w:spacing w:lineRule="auto" w:line="240" w:before="60" w:after="60"/>
              <w:rPr>
                <w:rFonts w:ascii="Arial" w:hAnsi="Arial" w:cs="Arial"/>
                <w:b/>
                <w:b/>
                <w:color w:val="FFFFFF"/>
              </w:rPr>
            </w:pPr>
            <w:r>
              <w:rPr>
                <w:rFonts w:cs="Arial" w:ascii="Arial" w:hAnsi="Arial"/>
                <w:b/>
                <w:color w:val="FFFFFF"/>
              </w:rPr>
              <w:t>Method of Assessment</w:t>
            </w:r>
          </w:p>
        </w:tc>
      </w:tr>
      <w:tr>
        <w:trPr>
          <w:cantSplit w:val="true"/>
        </w:trPr>
        <w:tc>
          <w:tcPr>
            <w:tcW w:w="646" w:type="dxa"/>
            <w:tcBorders>
              <w:left w:val="single" w:sz="4" w:space="0" w:color="000000"/>
              <w:bottom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r>
          </w:p>
        </w:tc>
        <w:tc>
          <w:tcPr>
            <w:tcW w:w="8992" w:type="dxa"/>
            <w:gridSpan w:val="7"/>
            <w:tcBorders>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An understanding of data, how best to analyse that data &amp; its impact on performance.</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 clear understanding of the local &amp; national agenda for the delivery of high-quality educational provision in relation to the SEND code of practice</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 Interview </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 clear understanding of Safeguarding, Child Protection &amp; Information Sharing issues</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Ability to lead, write, analyse and evaluate quantitative and qualitative data and report findings clearly and succinctly.</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Well organised, self-motivated &amp; show integrity and a high level of professionalism</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pPr>
            <w:r>
              <w:rPr>
                <w:rFonts w:eastAsia="Arial" w:cs="Arial" w:ascii="Arial" w:hAnsi="Arial"/>
              </w:rPr>
              <w:t xml:space="preserve"> </w:t>
            </w:r>
            <w:r>
              <w:rPr>
                <w:rFonts w:cs="Arial" w:ascii="Arial" w:hAnsi="Arial"/>
              </w:rPr>
              <w:t xml:space="preserve">Application / interview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6.</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Confident user of IT as a work tool, including the ability to produce presentations and spreadsheets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cantSplit w:val="true"/>
        </w:trPr>
        <w:tc>
          <w:tcPr>
            <w:tcW w:w="646" w:type="dxa"/>
            <w:tcBorders>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7.</w:t>
            </w:r>
          </w:p>
        </w:tc>
        <w:tc>
          <w:tcPr>
            <w:tcW w:w="5559" w:type="dxa"/>
            <w:gridSpan w:val="6"/>
            <w:tcBorders>
              <w:bottom w:val="single" w:sz="4" w:space="0" w:color="000000"/>
            </w:tcBorders>
            <w:shd w:fill="auto" w:val="clear"/>
          </w:tcPr>
          <w:p>
            <w:pPr>
              <w:pStyle w:val="Normal"/>
              <w:spacing w:lineRule="auto" w:line="240" w:before="120" w:after="120"/>
              <w:ind w:left="0" w:right="175" w:hanging="0"/>
              <w:rPr>
                <w:rFonts w:ascii="Arial" w:hAnsi="Arial" w:cs="Arial"/>
              </w:rPr>
            </w:pPr>
            <w:r>
              <w:rPr>
                <w:rFonts w:cs="Arial" w:ascii="Arial" w:hAnsi="Arial"/>
              </w:rPr>
              <w:t>Good interpersonal skills including the ability to work effectively / collaboratively with a range of people &amp; agencies.</w:t>
            </w:r>
          </w:p>
        </w:tc>
        <w:tc>
          <w:tcPr>
            <w:tcW w:w="3433" w:type="dxa"/>
            <w:tcBorders>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46" w:type="dxa"/>
            <w:tcBorders>
              <w:left w:val="single" w:sz="4" w:space="0" w:color="000000"/>
            </w:tcBorders>
            <w:shd w:fill="auto" w:val="clear"/>
          </w:tcPr>
          <w:p>
            <w:pPr>
              <w:pStyle w:val="Normal"/>
              <w:snapToGrid w:val="false"/>
              <w:spacing w:lineRule="auto" w:line="240" w:before="120" w:after="120"/>
              <w:rPr>
                <w:rFonts w:ascii="Arial" w:hAnsi="Arial" w:cs="Arial"/>
              </w:rPr>
            </w:pPr>
            <w:r>
              <w:rPr>
                <w:rFonts w:cs="Arial" w:ascii="Arial" w:hAnsi="Arial"/>
              </w:rPr>
            </w:r>
          </w:p>
        </w:tc>
        <w:tc>
          <w:tcPr>
            <w:tcW w:w="5559" w:type="dxa"/>
            <w:gridSpan w:val="6"/>
            <w:tcBorders/>
            <w:shd w:fill="auto" w:val="clear"/>
          </w:tcPr>
          <w:p>
            <w:pPr>
              <w:pStyle w:val="Normal"/>
              <w:spacing w:lineRule="auto" w:line="240"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433" w:type="dxa"/>
            <w:tcBorders>
              <w:left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Educated to degree standard including a relevant professional qualification (PGCE) </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Proof of Qualification</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Qualified Teacher Status (QTS)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Proof of Status</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3. </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Evidence of Continuing Professional Development (CPD).</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Qualified SENCO </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Application / Interview</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This role requires the job holder to occasionally work outside of normal office hours, for example at evenings and weekends, to meet the needs of the service. </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Interview  </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[enhanced] disclosure from the Disclosure &amp; Barring Service with check of relevant barred list(s)</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7" w:type="dxa"/>
            <w:gridSpan w:val="2"/>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5. </w:t>
            </w:r>
          </w:p>
        </w:tc>
        <w:tc>
          <w:tcPr>
            <w:tcW w:w="5509" w:type="dxa"/>
            <w:gridSpan w:val="4"/>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452"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trHeight w:val="653" w:hRule="atLeast"/>
        </w:trPr>
        <w:tc>
          <w:tcPr>
            <w:tcW w:w="1730" w:type="dxa"/>
            <w:gridSpan w:val="4"/>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4"/>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05" w:type="dxa"/>
            <w:gridSpan w:val="7"/>
            <w:tcBorders>
              <w:top w:val="single" w:sz="4" w:space="0" w:color="000000"/>
              <w:left w:val="single" w:sz="4" w:space="0" w:color="000000"/>
              <w:bottom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33" w:type="dxa"/>
            <w:tcBorders>
              <w:top w:val="single" w:sz="4" w:space="0" w:color="000000"/>
              <w:left w:val="single" w:sz="4" w:space="0" w:color="000000"/>
              <w:bottom w:val="single" w:sz="4" w:space="0" w:color="000000"/>
              <w:right w:val="single" w:sz="4" w:space="0" w:color="000000"/>
            </w:tcBorders>
            <w:shd w:fill="0C0C0C"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Devising and implementing effective monitoring systems to evaluate impact.</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 interview </w:t>
            </w:r>
          </w:p>
        </w:tc>
      </w:tr>
      <w:tr>
        <w:trPr>
          <w:cantSplit w:val="true"/>
        </w:trPr>
        <w:tc>
          <w:tcPr>
            <w:tcW w:w="9638" w:type="dxa"/>
            <w:gridSpan w:val="8"/>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Qualifications in a related specialist field such as SEN, inclusion, safeguarding or social care. </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 / Proof of qualification</w:t>
            </w:r>
          </w:p>
        </w:tc>
      </w:tr>
      <w:tr>
        <w:trPr>
          <w:cantSplit w:val="true"/>
        </w:trPr>
        <w:tc>
          <w:tcPr>
            <w:tcW w:w="646" w:type="dxa"/>
            <w:tcBorders>
              <w:top w:val="single" w:sz="4" w:space="0" w:color="000000"/>
              <w:left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6"/>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Designated Teacher within a school  </w:t>
            </w:r>
          </w:p>
        </w:tc>
        <w:tc>
          <w:tcPr>
            <w:tcW w:w="3433" w:type="dxa"/>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120" w:after="120"/>
              <w:rPr>
                <w:rFonts w:ascii="Arial" w:hAnsi="Arial" w:cs="Arial"/>
              </w:rPr>
            </w:pPr>
            <w:r>
              <w:rPr>
                <w:rFonts w:cs="Arial" w:ascii="Arial" w:hAnsi="Arial"/>
              </w:rPr>
              <w:t xml:space="preserve">Application </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 xml:space="preserve">Date Person Specification prepared/updated </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25/06/2026</w:t>
            </w:r>
          </w:p>
        </w:tc>
      </w:tr>
      <w:tr>
        <w:trPr/>
        <w:tc>
          <w:tcPr>
            <w:tcW w:w="5812" w:type="dxa"/>
            <w:gridSpan w:val="5"/>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3"/>
            <w:tcBorders/>
            <w:shd w:fill="auto" w:val="clear"/>
          </w:tcPr>
          <w:p>
            <w:pPr>
              <w:pStyle w:val="Normal"/>
              <w:spacing w:lineRule="auto" w:line="240" w:before="0" w:after="0"/>
              <w:rPr>
                <w:rFonts w:ascii="Arial" w:hAnsi="Arial" w:cs="Arial"/>
                <w:b/>
                <w:b/>
              </w:rPr>
            </w:pPr>
            <w:r>
              <w:rPr>
                <w:rFonts w:cs="Arial" w:ascii="Arial" w:hAnsi="Arial"/>
                <w:b/>
              </w:rPr>
              <w:t>Lindsay Nelson</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widowControl/>
        <w:bidi w:val="0"/>
        <w:spacing w:lineRule="auto" w:line="276" w:before="0" w:after="200"/>
        <w:jc w:val="left"/>
        <w:rPr/>
      </w:pPr>
      <w:r>
        <w:rPr/>
      </w:r>
    </w:p>
    <w:sectPr>
      <w:headerReference w:type="default" r:id="rId8"/>
      <w:footerReference w:type="default" r:id="rId9"/>
      <w:type w:val="nextPage"/>
      <w:pgSz w:w="11906" w:h="16838"/>
      <w:pgMar w:left="1134" w:right="1134" w:header="0"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b/>
        <w:b/>
        <w:bCs/>
        <w:color w:val="FFFFFF"/>
        <w:sz w:val="24"/>
        <w:szCs w:val="24"/>
      </w:rPr>
    </w:pPr>
    <w:r>
      <w:rPr>
        <w:b/>
        <w:bCs/>
        <w:color w:val="FFFFFF"/>
        <w:sz w:val="24"/>
        <w:szCs w:val="24"/>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num w:numId="1">
    <w:abstractNumId w:val="1"/>
  </w:num>
  <w:num w:numId="2">
    <w:abstractNumId w:val="2"/>
  </w:num>
</w:numbering>
</file>

<file path=word/settings.xml><?xml version="1.0" encoding="utf-8"?>
<w:settings xmlns:w="http://schemas.openxmlformats.org/wordprocessingml/2006/main">
  <w:zoom w:percent="120"/>
  <w:displayBackgroundShape/>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