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br/>
      </w:r>
    </w:p>
    <w:p>
      <w:pPr>
        <w:pStyle w:val="Heading1"/>
        <w:rPr/>
      </w:pPr>
      <w:r>
        <w:rPr>
          <w:rFonts w:eastAsia="Calibri" w:cs="Calibri"/>
          <w:b/>
          <w:bCs/>
          <w:color w:val="auto"/>
          <w:sz w:val="40"/>
          <w:szCs w:val="40"/>
        </w:rPr>
        <w:t xml:space="preserve"> </w:t>
      </w:r>
      <w:r>
        <w:rPr>
          <w:b/>
          <w:bCs/>
          <w:color w:val="auto"/>
          <w:sz w:val="40"/>
          <w:szCs w:val="40"/>
        </w:rPr>
        <w:t>Job Description</w:t>
      </w:r>
      <w:r>
        <w:rPr>
          <w:b/>
          <w:bCs/>
          <w:sz w:val="40"/>
          <w:szCs w:val="40"/>
        </w:rPr>
        <w:t xml:space="preserve">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CHIEF EXECUTIVE’S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pPr>
            <w:r>
              <w:rPr>
                <w:rFonts w:eastAsia="Arial" w:cs="Arial" w:ascii="Arial" w:hAnsi="Arial"/>
              </w:rPr>
              <w:t xml:space="preserve"> </w:t>
            </w:r>
            <w:r>
              <w:rPr>
                <w:rFonts w:cs="Arial" w:ascii="Arial" w:hAnsi="Arial"/>
              </w:rPr>
              <w:t xml:space="preserve">HEAD OF DEMOCRATIC SERVICES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K</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To lead and manage the Democratic Services function, ensuring the effective delivery of democratic governance, scrutiny, Member support and decision-making processes across the Council. </w:t>
            </w:r>
          </w:p>
          <w:p>
            <w:pPr>
              <w:pStyle w:val="Normal"/>
              <w:spacing w:lineRule="auto" w:line="240" w:before="0" w:after="0"/>
              <w:rPr>
                <w:rFonts w:ascii="Arial" w:hAnsi="Arial" w:cs="Arial"/>
              </w:rPr>
            </w:pPr>
            <w:r>
              <w:rPr>
                <w:rFonts w:cs="Arial" w:ascii="Arial" w:hAnsi="Arial"/>
              </w:rPr>
              <w:t xml:space="preserve">To act as the Council's principal adviser on democratic governance, constitutional matters, committee administration, scrutiny and Member development, promoting best practice, transparency and accountability. </w:t>
            </w:r>
          </w:p>
          <w:p>
            <w:pPr>
              <w:pStyle w:val="Normal"/>
              <w:spacing w:lineRule="auto" w:line="240" w:before="0" w:after="0"/>
              <w:rPr>
                <w:rFonts w:ascii="Arial" w:hAnsi="Arial" w:cs="Arial"/>
              </w:rPr>
            </w:pPr>
            <w:r>
              <w:rPr>
                <w:rFonts w:cs="Arial" w:ascii="Arial" w:hAnsi="Arial"/>
              </w:rPr>
              <w:t xml:space="preserve">To lead the continuous improvement and modernisation of democratic services through the effective use of technology, innovation and service redesign.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 xml:space="preserve">To manage the Democratic Services budget and resources, ensuring the efficient use of resources and delivery of high-quality services that support the Council's constitutional and governance framework. </w:t>
            </w:r>
          </w:p>
          <w:p>
            <w:pPr>
              <w:pStyle w:val="Normal"/>
              <w:spacing w:lineRule="auto" w:line="240" w:before="0" w:after="0"/>
              <w:rPr>
                <w:rFonts w:ascii="Arial" w:hAnsi="Arial" w:cs="Arial"/>
              </w:rPr>
            </w:pPr>
            <w:r>
              <w:rPr>
                <w:rFonts w:cs="Arial" w:ascii="Arial" w:hAnsi="Arial"/>
              </w:rPr>
              <w:t>To provide strategic leadership to Democratic Services staff and work collaboratively with Members, senior officers and partners to strengthen governance arrangements and support effective decision-making.</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Borough Solicitor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All Democratic Services staff including the Deputy Democratic Services Manager and any associated Democratic Services, Scrutiny, Governance and Member Support staff. </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 xml:space="preserve">Lead and manage the Democratic Services function, ensuring the effective delivery of democratic governance, committee administration, scrutiny support and Member services across the Council.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 xml:space="preserve">Provide strategic advice and support to Members, senior officers and partners on constitutional, governance, procedural and ethical matters, ensuring compliance with statutory requirements and best practice.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 xml:space="preserve">Act as lead officer for the effective operation and continuous improvement of the Council's democratic decision-making processes, ensuring decision-making is lawful, transparent and robust.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 xml:space="preserve">Lead and develop the Council's overview and scrutiny arrangements, promoting effective challenge, accountability and policy development.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 xml:space="preserve">Support the Monitoring Officer in maintaining and promoting high standards of conduct, ethical governance and compliance with the Members' Code of Conduct, including responsibility for Standards Committee arrangements.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 xml:space="preserve">Lead the development, review and maintenance of the Council's Constitution and governance framework, ensuring it remains fit for purpose and reflects legislative and best practice requirements.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 xml:space="preserve">Develop and deliver a comprehensive Member support and development programme, promoting best practice and ensuring Members are equipped to undertake their democratic, regulatory and scrutiny responsibilities effectively.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Lead the implementation and development of technology and digital solutions that enhance democratic participation, meeting management, governance processes, public engagement and service efficiency.</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Manage and develop management systems and associated digital platforms, ensuring services are modern, accessible and responsive to the needs of Members, officers and the public.</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Manage the Democratic Services budget, resources and business planning arrangements, ensuring value for money, effective financial management and achievement of service objectives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Lead, manage and develop all Democratic Services staff, ensuring effective workforce planning, performance management, succession planning, learning and development.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Manage the independent appeal panel arrangements for school admissions and exclusions, ensuring compliance with legislation, statutory guidance and national codes of practice.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Lead service improvement, benchmarking and adoption of best practice in democratic governance, scrutiny, Member support and committee management, ensuring Bolton remains aligned with sector-leading authorities.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Contribute to the strategic leadership of Legal and Democratic Services and support the Borough Solicitor in the delivery of departmental and corporate priorities.</w:t>
            </w:r>
          </w:p>
        </w:tc>
      </w:tr>
      <w:tr>
        <w:trPr/>
        <w:tc>
          <w:tcPr>
            <w:tcW w:w="4572" w:type="dxa"/>
            <w:gridSpan w:val="2"/>
            <w:tcBorders/>
            <w:shd w:fill="auto" w:val="clear"/>
          </w:tcPr>
          <w:p>
            <w:pPr>
              <w:pStyle w:val="Normal"/>
              <w:spacing w:lineRule="auto" w:line="240" w:before="0" w:after="0"/>
              <w:rPr>
                <w:rFonts w:ascii="Arial" w:hAnsi="Arial" w:cs="Arial"/>
                <w:bCs/>
              </w:rPr>
            </w:pPr>
            <w:r>
              <w:rPr>
                <w:rFonts w:cs="Arial" w:ascii="Arial" w:hAnsi="Arial"/>
                <w:bCs/>
              </w:rPr>
              <w:t>Date Job Description prepared/updated:</w:t>
            </w:r>
          </w:p>
        </w:tc>
        <w:tc>
          <w:tcPr>
            <w:tcW w:w="5065" w:type="dxa"/>
            <w:tcBorders/>
            <w:shd w:fill="auto" w:val="clear"/>
          </w:tcPr>
          <w:p>
            <w:pPr>
              <w:pStyle w:val="Normal"/>
              <w:spacing w:lineRule="auto" w:line="240" w:before="0" w:after="0"/>
              <w:rPr>
                <w:rFonts w:ascii="Arial" w:hAnsi="Arial" w:cs="Arial"/>
                <w:bCs/>
              </w:rPr>
            </w:pPr>
            <w:r>
              <w:rPr>
                <w:rFonts w:cs="Arial" w:ascii="Arial" w:hAnsi="Arial"/>
                <w:bCs/>
              </w:rPr>
              <w:t xml:space="preserve">July 2026 </w:t>
            </w:r>
          </w:p>
        </w:tc>
      </w:tr>
      <w:tr>
        <w:trPr/>
        <w:tc>
          <w:tcPr>
            <w:tcW w:w="4572" w:type="dxa"/>
            <w:gridSpan w:val="2"/>
            <w:tcBorders/>
            <w:shd w:fill="auto" w:val="clear"/>
          </w:tcPr>
          <w:p>
            <w:pPr>
              <w:pStyle w:val="Normal"/>
              <w:spacing w:lineRule="auto" w:line="240" w:before="0" w:after="0"/>
              <w:rPr>
                <w:rFonts w:ascii="Arial" w:hAnsi="Arial" w:cs="Arial"/>
                <w:bCs/>
              </w:rPr>
            </w:pPr>
            <w:r>
              <w:rPr>
                <w:rFonts w:cs="Arial" w:ascii="Arial" w:hAnsi="Arial"/>
                <w:bCs/>
              </w:rPr>
              <w:t>Job Description prepared by:</w:t>
            </w:r>
          </w:p>
        </w:tc>
        <w:tc>
          <w:tcPr>
            <w:tcW w:w="5065" w:type="dxa"/>
            <w:tcBorders/>
            <w:shd w:fill="auto" w:val="clear"/>
          </w:tcPr>
          <w:p>
            <w:pPr>
              <w:pStyle w:val="Normal"/>
              <w:spacing w:lineRule="auto" w:line="240" w:before="0" w:after="0"/>
              <w:rPr>
                <w:rFonts w:ascii="Arial" w:hAnsi="Arial" w:cs="Arial"/>
                <w:bCs/>
              </w:rPr>
            </w:pPr>
            <w:r>
              <w:rPr>
                <w:rFonts w:cs="Arial" w:ascii="Arial" w:hAnsi="Arial"/>
                <w:bCs/>
              </w:rPr>
              <w:t>Borough Solicitor</w:t>
            </w:r>
          </w:p>
        </w:tc>
      </w:tr>
    </w:tbl>
    <w:p>
      <w:pPr>
        <w:pStyle w:val="Normal"/>
        <w:rPr/>
      </w:pPr>
      <w:r>
        <w:rPr/>
      </w:r>
    </w:p>
    <w:p>
      <w:pPr>
        <w:pStyle w:val="Normal"/>
        <w:spacing w:lineRule="auto" w:line="256" w:before="0" w:after="160"/>
        <w:rPr/>
      </w:pPr>
      <w:r>
        <w:rPr/>
      </w:r>
      <w:r>
        <w:br w:type="page"/>
      </w:r>
    </w:p>
    <w:p>
      <w:pPr>
        <w:pStyle w:val="Normal"/>
        <w:rPr/>
      </w:pPr>
      <w:r>
        <w:rPr/>
      </w:r>
    </w:p>
    <w:p>
      <w:pPr>
        <w:pStyle w:val="Heading2"/>
        <w:rPr>
          <w:b/>
          <w:b/>
          <w:bCs/>
          <w:color w:val="auto"/>
          <w:sz w:val="40"/>
          <w:szCs w:val="40"/>
        </w:rPr>
      </w:pPr>
      <w:r>
        <w:rPr>
          <w:b/>
          <w:bCs/>
          <w:color w:val="auto"/>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CHIEF EXECUTIVE’S</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DEMOCRATIC SERVICES MANAGER</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rFonts w:ascii="Arial" w:hAnsi="Arial" w:cs="Arial"/>
                <w:bCs/>
              </w:rPr>
            </w:pPr>
            <w:r>
              <w:rPr>
                <w:rFonts w:cs="Arial" w:ascii="Arial" w:hAnsi="Arial"/>
                <w:bCs/>
              </w:rPr>
              <w:t>Disabled Candidates are guaranteed an interview if they meet the essential criteria</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92" w:type="dxa"/>
            <w:gridSpan w:val="7"/>
            <w:tcBorders>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Detailed understanding of the national, regional and local policy agenda facing local government and the public sector.</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Highly developed political awareness and the ability to manage effectively in a political environment.</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Extensive knowledge of democratic governance, constitutional law, scrutiny, standards and ethical governance. </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Detailed understanding of the political, leadership and management issues facing large complex councils.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Excellent interpersonal and communication skills and the ability to operate strategically with Members, Chief Officers and external partners. </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Interview/Assessment </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Excellent leadership and people management skills and the ability to motivate and inspire people within the division, across the council and partnership</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Interview/Assessment Centre</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Experience of leading organisational change and service transformation. </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Interview/Assessment </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Experience of implementing and managing digital systems and technological innovation. </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Interview/Assessment </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9. </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Strong financial management and budgetary control experience.</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Interview/Assessment</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10. </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lead and influence organisational governance and democratic improvement programmes</w:t>
            </w:r>
          </w:p>
        </w:tc>
        <w:tc>
          <w:tcPr>
            <w:tcW w:w="3433" w:type="dxa"/>
            <w:tcBorders>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11.</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analyse complex information and to produce, clear, concise, balanced reports, briefing papers and minutes of meetings.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46" w:type="dxa"/>
            <w:tcBorders>
              <w:left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3433" w:type="dxa"/>
            <w:tcBorders>
              <w:left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Significant experience leading a Democratic Services, Governance or Scrutiny function within a large and complex public sector organisation. </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Experience of managing budgets and resources. </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 xml:space="preserve">A relevant degree level qualification or equivalent, preferably in Law, Public Administration, Politics, Governance, Business management or a related discipline. </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Experience of delivering governance improvement and digital transformation projects.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Interview/Assessment</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Experience of advising senior elected Members and Chief Officers on complex governance matters.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Will be required to work outside normal working hours occasionally to meet service demand.</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Posts that are designated as Information Asset Owners will  be expected to lead and foster a culture that values, protects and uses information for the public good.  They must know what information the asset holds, what enters and leaves it and why,  being responsible for maintaining this overview within the Councils Information Asset Register. The IAO will also need to know who has access and why and ensure their use of the asset is monitored and used for service delivery and performance management, understand and address risks to the asset and provide assurance to the SIRO/ DSIRO. Ultimately, the IAO must ensure the asset is fully used for the public good, including responding to access requests, audits and transparency /open data requests.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b/>
                <w:b/>
                <w:bCs/>
              </w:rPr>
            </w:pPr>
            <w:r>
              <w:rPr>
                <w:rFonts w:cs="Arial" w:ascii="Arial" w:hAnsi="Arial"/>
                <w:b/>
                <w:bCs/>
              </w:rPr>
              <w:t>Applicable to all roles at Grade L &amp; above and those that speak on behalf of council to journalists/broadcasters and/or act in an advisory capacity to Councillors:</w:t>
            </w:r>
          </w:p>
          <w:p>
            <w:pPr>
              <w:pStyle w:val="Normal"/>
              <w:spacing w:lineRule="auto" w:line="240" w:before="120" w:after="120"/>
              <w:rPr>
                <w:rFonts w:ascii="Arial" w:hAnsi="Arial" w:cs="Arial"/>
                <w:bCs/>
              </w:rPr>
            </w:pPr>
            <w:r>
              <w:rPr>
                <w:rFonts w:cs="Arial" w:ascii="Arial" w:hAnsi="Arial"/>
                <w:bCs/>
              </w:rPr>
              <w:t>This post is designated as politically restricted. The holder of a politically restricted post is unable to have any active political role either in or outside the workplace. Politically restricted employees will automatically be disqualified from standing for or holding elected office. This means you are not permitted to stand for office as a local councillor or MP.  In addition, you are restricted from canvassing on behalf of a political party or a person who is, or seeks to be, a candidate. You are also restricted from speaking to the public at large or publishing any written or artistic work that could give the impression that you are advocating support for a political party.</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bookmarkStart w:id="0" w:name="_Hlk49870958"/>
            <w:bookmarkEnd w:id="0"/>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Evidence of continuous professional development in democratic governance, constitutional law, scrutiny, leadership, management and public sector governance</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Additional qualifications e.g. </w:t>
            </w:r>
          </w:p>
          <w:p>
            <w:pPr>
              <w:pStyle w:val="Normal"/>
              <w:spacing w:lineRule="auto" w:line="240" w:before="120" w:after="120"/>
              <w:rPr>
                <w:rFonts w:ascii="Arial" w:hAnsi="Arial" w:cs="Arial"/>
              </w:rPr>
            </w:pPr>
            <w:r>
              <w:rPr>
                <w:rFonts w:cs="Arial" w:ascii="Arial" w:hAnsi="Arial"/>
              </w:rPr>
              <w:t xml:space="preserve">Professional qualification in governance, management or leadership. </w:t>
            </w:r>
          </w:p>
          <w:p>
            <w:pPr>
              <w:pStyle w:val="Normal"/>
              <w:spacing w:lineRule="auto" w:line="240" w:before="120" w:after="120"/>
              <w:rPr>
                <w:rFonts w:ascii="Arial" w:hAnsi="Arial" w:cs="Arial"/>
              </w:rPr>
            </w:pPr>
            <w:r>
              <w:rPr>
                <w:rFonts w:cs="Arial" w:ascii="Arial" w:hAnsi="Arial"/>
              </w:rPr>
              <w:t xml:space="preserve">ILM Level 5 or 7 Leadership and Management qualification. </w:t>
            </w:r>
          </w:p>
          <w:p>
            <w:pPr>
              <w:pStyle w:val="Normal"/>
              <w:spacing w:lineRule="auto" w:line="240" w:before="120" w:after="120"/>
              <w:rPr>
                <w:rFonts w:ascii="Arial" w:hAnsi="Arial" w:cs="Arial"/>
              </w:rPr>
            </w:pPr>
            <w:r>
              <w:rPr>
                <w:rFonts w:cs="Arial" w:ascii="Arial" w:hAnsi="Arial"/>
              </w:rPr>
              <w:t xml:space="preserve">Local Government Association (LGA) leadership programmes. </w:t>
            </w:r>
          </w:p>
          <w:p>
            <w:pPr>
              <w:pStyle w:val="Normal"/>
              <w:spacing w:lineRule="auto" w:line="240" w:before="120" w:after="120"/>
              <w:rPr>
                <w:rFonts w:ascii="Arial" w:hAnsi="Arial" w:cs="Arial"/>
              </w:rPr>
            </w:pPr>
            <w:r>
              <w:rPr>
                <w:rFonts w:cs="Arial" w:ascii="Arial" w:hAnsi="Arial"/>
              </w:rPr>
              <w:t>Certificate in Democratic Services Knowledge</w:t>
            </w:r>
          </w:p>
          <w:p>
            <w:pPr>
              <w:pStyle w:val="Normal"/>
              <w:spacing w:lineRule="auto" w:line="240" w:before="120" w:after="120"/>
              <w:rPr>
                <w:rFonts w:ascii="Arial" w:hAnsi="Arial" w:cs="Arial"/>
              </w:rPr>
            </w:pPr>
            <w:r>
              <w:rPr>
                <w:rFonts w:cs="Arial" w:ascii="Arial" w:hAnsi="Arial"/>
              </w:rPr>
              <w:t>Diploma in Local Democracy</w:t>
            </w:r>
          </w:p>
          <w:p>
            <w:pPr>
              <w:pStyle w:val="Normal"/>
              <w:spacing w:lineRule="auto" w:line="240" w:before="120" w:after="120"/>
              <w:rPr>
                <w:rFonts w:ascii="Arial" w:hAnsi="Arial" w:cs="Arial"/>
              </w:rPr>
            </w:pPr>
            <w:r>
              <w:rPr>
                <w:rFonts w:cs="Arial" w:ascii="Arial" w:hAnsi="Arial"/>
              </w:rPr>
              <w:t>Relevant postgraduate qualification (e.g. Local Government Studies, Public Administration, Law, Governance, Leadership or Management).</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 xml:space="preserve">Date Person Specification prepared/updated: </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 xml:space="preserve">July 2026 </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 xml:space="preserve">Person Specification prepared by: </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Borough Solicitor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footerReference w:type="default" r:id="rId8"/>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F5496"/>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Calibri Light" w:hAnsi="Calibri Light" w:eastAsia="" w:cs=""/>
      <w:color w:val="2F5496"/>
      <w:sz w:val="32"/>
      <w:szCs w:val="32"/>
    </w:rPr>
  </w:style>
  <w:style w:type="character" w:styleId="Heading2Char">
    <w:name w:val="Heading 2 Char"/>
    <w:basedOn w:val="DefaultParagraphFont"/>
    <w:qFormat/>
    <w:rPr>
      <w:rFonts w:ascii="Calibri Light" w:hAnsi="Calibri Light" w:eastAsia="" w:cs=""/>
      <w:color w:val="2F5496"/>
      <w:sz w:val="26"/>
      <w:szCs w:val="26"/>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