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9F4FFCC" w:rsidR="00243DBF" w:rsidRDefault="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6BBCD04A">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1E0C7A7F" w:rsidR="00243DBF" w:rsidRPr="008C5818" w:rsidRDefault="0033131C" w:rsidP="00243DBF">
            <w:pPr>
              <w:spacing w:after="0"/>
              <w:rPr>
                <w:rFonts w:ascii="Arial" w:hAnsi="Arial" w:cs="Arial"/>
                <w:b/>
              </w:rPr>
            </w:pPr>
            <w:r>
              <w:rPr>
                <w:rFonts w:ascii="Arial" w:hAnsi="Arial" w:cs="Arial"/>
                <w:b/>
              </w:rPr>
              <w:t>Adults</w:t>
            </w:r>
            <w:r w:rsidR="00E374C4">
              <w:rPr>
                <w:rFonts w:ascii="Arial" w:hAnsi="Arial" w:cs="Arial"/>
                <w:b/>
              </w:rPr>
              <w:t xml:space="preserve">, Communities and Integration </w:t>
            </w:r>
          </w:p>
        </w:tc>
      </w:tr>
      <w:tr w:rsidR="00243DBF" w:rsidRPr="008C5818" w14:paraId="069BB0EA" w14:textId="77777777" w:rsidTr="6BBCD04A">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8ECE15A" w:rsidR="00243DBF" w:rsidRPr="00FE2BC3" w:rsidRDefault="79CE3490" w:rsidP="6BBCD04A">
            <w:pPr>
              <w:spacing w:after="0"/>
              <w:rPr>
                <w:rFonts w:ascii="Arial" w:hAnsi="Arial" w:cs="Arial"/>
                <w:b/>
                <w:bCs/>
              </w:rPr>
            </w:pPr>
            <w:r w:rsidRPr="00FE2BC3">
              <w:rPr>
                <w:rFonts w:ascii="Arial" w:hAnsi="Arial" w:cs="Arial"/>
                <w:b/>
                <w:bCs/>
              </w:rPr>
              <w:t xml:space="preserve">Brokerage &amp; </w:t>
            </w:r>
            <w:r w:rsidR="0033131C" w:rsidRPr="00FE2BC3">
              <w:rPr>
                <w:rFonts w:ascii="Arial" w:hAnsi="Arial" w:cs="Arial"/>
                <w:b/>
                <w:bCs/>
              </w:rPr>
              <w:t>Placements Officer</w:t>
            </w:r>
          </w:p>
        </w:tc>
      </w:tr>
      <w:tr w:rsidR="00243DBF" w:rsidRPr="008C5818" w14:paraId="2419BDF4" w14:textId="77777777" w:rsidTr="6BBCD04A">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0F9D8DE" w:rsidR="00243DBF" w:rsidRPr="008C5818" w:rsidRDefault="0033131C" w:rsidP="00243DBF">
            <w:pPr>
              <w:spacing w:after="0"/>
              <w:rPr>
                <w:rFonts w:ascii="Arial" w:hAnsi="Arial" w:cs="Arial"/>
              </w:rPr>
            </w:pPr>
            <w:r>
              <w:rPr>
                <w:rFonts w:ascii="Arial" w:hAnsi="Arial" w:cs="Arial"/>
              </w:rPr>
              <w:t>Grade G</w:t>
            </w:r>
          </w:p>
        </w:tc>
      </w:tr>
      <w:tr w:rsidR="00243DBF" w:rsidRPr="008C5818" w14:paraId="1BC738FC" w14:textId="77777777" w:rsidTr="6BBCD04A">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36136E4A" w14:textId="74C59039" w:rsidR="00462D1F" w:rsidRDefault="0033131C" w:rsidP="00243DBF">
            <w:pPr>
              <w:spacing w:after="0"/>
              <w:rPr>
                <w:rStyle w:val="normaltextrun"/>
                <w:rFonts w:ascii="Arial" w:hAnsi="Arial" w:cs="Arial"/>
              </w:rPr>
            </w:pPr>
            <w:r w:rsidRPr="6BBCD04A">
              <w:rPr>
                <w:rStyle w:val="normaltextrun"/>
                <w:rFonts w:ascii="Arial" w:hAnsi="Arial" w:cs="Arial"/>
              </w:rPr>
              <w:t xml:space="preserve">To initiate </w:t>
            </w:r>
            <w:r w:rsidR="49E4FEE8" w:rsidRPr="6BBCD04A">
              <w:rPr>
                <w:rStyle w:val="normaltextrun"/>
                <w:rFonts w:ascii="Arial" w:hAnsi="Arial" w:cs="Arial"/>
              </w:rPr>
              <w:t>placement and support</w:t>
            </w:r>
            <w:r w:rsidRPr="6BBCD04A">
              <w:rPr>
                <w:rStyle w:val="normaltextrun"/>
                <w:rFonts w:ascii="Arial" w:hAnsi="Arial" w:cs="Arial"/>
              </w:rPr>
              <w:t xml:space="preserve"> searches across</w:t>
            </w:r>
            <w:r w:rsidR="0C588F67" w:rsidRPr="6BBCD04A">
              <w:rPr>
                <w:rStyle w:val="normaltextrun"/>
                <w:rFonts w:ascii="Arial" w:hAnsi="Arial" w:cs="Arial"/>
              </w:rPr>
              <w:t xml:space="preserve"> working age adult</w:t>
            </w:r>
            <w:r w:rsidR="00E90DDC" w:rsidRPr="6BBCD04A">
              <w:rPr>
                <w:rStyle w:val="normaltextrun"/>
                <w:rFonts w:ascii="Arial" w:hAnsi="Arial" w:cs="Arial"/>
              </w:rPr>
              <w:t>s (16 – 64)</w:t>
            </w:r>
            <w:r w:rsidR="0C588F67" w:rsidRPr="6BBCD04A">
              <w:rPr>
                <w:rStyle w:val="normaltextrun"/>
                <w:rFonts w:ascii="Arial" w:hAnsi="Arial" w:cs="Arial"/>
              </w:rPr>
              <w:t xml:space="preserve"> </w:t>
            </w:r>
            <w:r w:rsidR="12B461F8" w:rsidRPr="6BBCD04A">
              <w:rPr>
                <w:rStyle w:val="normaltextrun"/>
                <w:rFonts w:ascii="Arial" w:hAnsi="Arial" w:cs="Arial"/>
              </w:rPr>
              <w:t xml:space="preserve">within </w:t>
            </w:r>
            <w:r w:rsidR="0C588F67" w:rsidRPr="6BBCD04A">
              <w:rPr>
                <w:rStyle w:val="normaltextrun"/>
                <w:rFonts w:ascii="Arial" w:hAnsi="Arial" w:cs="Arial"/>
              </w:rPr>
              <w:t xml:space="preserve">Live </w:t>
            </w:r>
            <w:r w:rsidR="6F9AFCDA" w:rsidRPr="6BBCD04A">
              <w:rPr>
                <w:rStyle w:val="normaltextrun"/>
                <w:rFonts w:ascii="Arial" w:hAnsi="Arial" w:cs="Arial"/>
              </w:rPr>
              <w:t xml:space="preserve">Well </w:t>
            </w:r>
            <w:r w:rsidR="1844AC84" w:rsidRPr="6BBCD04A">
              <w:rPr>
                <w:rStyle w:val="normaltextrun"/>
                <w:rFonts w:ascii="Arial" w:hAnsi="Arial" w:cs="Arial"/>
              </w:rPr>
              <w:t xml:space="preserve">Commissioning </w:t>
            </w:r>
            <w:r w:rsidR="6F9AFCDA" w:rsidRPr="6BBCD04A">
              <w:rPr>
                <w:rStyle w:val="normaltextrun"/>
                <w:rFonts w:ascii="Arial" w:hAnsi="Arial" w:cs="Arial"/>
              </w:rPr>
              <w:t>service</w:t>
            </w:r>
            <w:r w:rsidR="0C588F67" w:rsidRPr="6BBCD04A">
              <w:rPr>
                <w:rStyle w:val="normaltextrun"/>
                <w:rFonts w:ascii="Arial" w:hAnsi="Arial" w:cs="Arial"/>
              </w:rPr>
              <w:t xml:space="preserve"> </w:t>
            </w:r>
            <w:r w:rsidR="2E9AFACE" w:rsidRPr="6BBCD04A">
              <w:rPr>
                <w:rStyle w:val="normaltextrun"/>
                <w:rFonts w:ascii="Arial" w:hAnsi="Arial" w:cs="Arial"/>
              </w:rPr>
              <w:t>and older people 65+ where op</w:t>
            </w:r>
            <w:r w:rsidR="12C7EE48" w:rsidRPr="6BBCD04A">
              <w:rPr>
                <w:rStyle w:val="normaltextrun"/>
                <w:rFonts w:ascii="Arial" w:hAnsi="Arial" w:cs="Arial"/>
              </w:rPr>
              <w:t>e</w:t>
            </w:r>
            <w:r w:rsidR="2E9AFACE" w:rsidRPr="6BBCD04A">
              <w:rPr>
                <w:rStyle w:val="normaltextrun"/>
                <w:rFonts w:ascii="Arial" w:hAnsi="Arial" w:cs="Arial"/>
              </w:rPr>
              <w:t>rationally required</w:t>
            </w:r>
            <w:r w:rsidR="0B687505" w:rsidRPr="6BBCD04A">
              <w:rPr>
                <w:rStyle w:val="normaltextrun"/>
                <w:rFonts w:ascii="Arial" w:hAnsi="Arial" w:cs="Arial"/>
              </w:rPr>
              <w:t>,</w:t>
            </w:r>
            <w:r w:rsidR="5605839E" w:rsidRPr="6BBCD04A">
              <w:rPr>
                <w:rStyle w:val="normaltextrun"/>
                <w:rFonts w:ascii="Arial" w:hAnsi="Arial" w:cs="Arial"/>
              </w:rPr>
              <w:t xml:space="preserve"> </w:t>
            </w:r>
            <w:r w:rsidRPr="6BBCD04A">
              <w:rPr>
                <w:rStyle w:val="normaltextrun"/>
                <w:rFonts w:ascii="Arial" w:hAnsi="Arial" w:cs="Arial"/>
              </w:rPr>
              <w:t>sourc</w:t>
            </w:r>
            <w:r w:rsidR="0810EE65" w:rsidRPr="6BBCD04A">
              <w:rPr>
                <w:rStyle w:val="normaltextrun"/>
                <w:rFonts w:ascii="Arial" w:hAnsi="Arial" w:cs="Arial"/>
              </w:rPr>
              <w:t>ing</w:t>
            </w:r>
            <w:r w:rsidRPr="6BBCD04A">
              <w:rPr>
                <w:rStyle w:val="normaltextrun"/>
                <w:rFonts w:ascii="Arial" w:hAnsi="Arial" w:cs="Arial"/>
              </w:rPr>
              <w:t xml:space="preserve"> </w:t>
            </w:r>
            <w:r w:rsidR="0726AA8F" w:rsidRPr="6BBCD04A">
              <w:rPr>
                <w:rStyle w:val="normaltextrun"/>
                <w:rFonts w:ascii="Arial" w:hAnsi="Arial" w:cs="Arial"/>
              </w:rPr>
              <w:t>accommodation-based</w:t>
            </w:r>
            <w:r w:rsidR="69AE25F9" w:rsidRPr="6BBCD04A">
              <w:rPr>
                <w:rStyle w:val="normaltextrun"/>
                <w:rFonts w:ascii="Arial" w:hAnsi="Arial" w:cs="Arial"/>
              </w:rPr>
              <w:t xml:space="preserve"> </w:t>
            </w:r>
            <w:r w:rsidR="05F2444C" w:rsidRPr="6BBCD04A">
              <w:rPr>
                <w:rStyle w:val="normaltextrun"/>
                <w:rFonts w:ascii="Arial" w:hAnsi="Arial" w:cs="Arial"/>
              </w:rPr>
              <w:t xml:space="preserve">services and complex care packages </w:t>
            </w:r>
            <w:r w:rsidRPr="6BBCD04A">
              <w:rPr>
                <w:rStyle w:val="normaltextrun"/>
                <w:rFonts w:ascii="Arial" w:hAnsi="Arial" w:cs="Arial"/>
              </w:rPr>
              <w:t xml:space="preserve">based on internally quality assured referrals from </w:t>
            </w:r>
            <w:r w:rsidR="3B6C0738" w:rsidRPr="6BBCD04A">
              <w:rPr>
                <w:rStyle w:val="normaltextrun"/>
                <w:rFonts w:ascii="Arial" w:hAnsi="Arial" w:cs="Arial"/>
              </w:rPr>
              <w:t>S</w:t>
            </w:r>
            <w:r w:rsidRPr="6BBCD04A">
              <w:rPr>
                <w:rStyle w:val="normaltextrun"/>
                <w:rFonts w:ascii="Arial" w:hAnsi="Arial" w:cs="Arial"/>
              </w:rPr>
              <w:t xml:space="preserve">ocial </w:t>
            </w:r>
            <w:r w:rsidR="3B6C0738" w:rsidRPr="6BBCD04A">
              <w:rPr>
                <w:rStyle w:val="normaltextrun"/>
                <w:rFonts w:ascii="Arial" w:hAnsi="Arial" w:cs="Arial"/>
              </w:rPr>
              <w:t>W</w:t>
            </w:r>
            <w:r w:rsidRPr="6BBCD04A">
              <w:rPr>
                <w:rStyle w:val="normaltextrun"/>
                <w:rFonts w:ascii="Arial" w:hAnsi="Arial" w:cs="Arial"/>
              </w:rPr>
              <w:t>ork teams</w:t>
            </w:r>
            <w:r w:rsidR="3B6C0738" w:rsidRPr="6BBCD04A">
              <w:rPr>
                <w:rStyle w:val="normaltextrun"/>
                <w:rFonts w:ascii="Arial" w:hAnsi="Arial" w:cs="Arial"/>
              </w:rPr>
              <w:t>.</w:t>
            </w:r>
          </w:p>
          <w:p w14:paraId="4BDA1719" w14:textId="77777777" w:rsidR="00462D1F" w:rsidRDefault="00462D1F" w:rsidP="00243DBF">
            <w:pPr>
              <w:spacing w:after="0"/>
              <w:rPr>
                <w:rStyle w:val="normaltextrun"/>
                <w:rFonts w:ascii="Arial" w:hAnsi="Arial" w:cs="Arial"/>
              </w:rPr>
            </w:pPr>
          </w:p>
          <w:p w14:paraId="29E6F163" w14:textId="102F7A6D" w:rsidR="00243DBF" w:rsidRPr="008C5818" w:rsidRDefault="00462D1F" w:rsidP="00243DBF">
            <w:pPr>
              <w:spacing w:after="0"/>
              <w:rPr>
                <w:rFonts w:ascii="Arial" w:hAnsi="Arial" w:cs="Arial"/>
              </w:rPr>
            </w:pPr>
            <w:r w:rsidRPr="22271A8B">
              <w:rPr>
                <w:rStyle w:val="normaltextrun"/>
                <w:rFonts w:ascii="Arial" w:hAnsi="Arial" w:cs="Arial"/>
              </w:rPr>
              <w:t>The postholder will use</w:t>
            </w:r>
            <w:r w:rsidR="0033131C" w:rsidRPr="22271A8B">
              <w:rPr>
                <w:rStyle w:val="normaltextrun"/>
                <w:rFonts w:ascii="Arial" w:hAnsi="Arial" w:cs="Arial"/>
              </w:rPr>
              <w:t xml:space="preserve"> detailed knowledge of the provider </w:t>
            </w:r>
            <w:r w:rsidR="004448B0" w:rsidRPr="22271A8B">
              <w:rPr>
                <w:rStyle w:val="normaltextrun"/>
                <w:rFonts w:ascii="Arial" w:hAnsi="Arial" w:cs="Arial"/>
              </w:rPr>
              <w:t>market</w:t>
            </w:r>
            <w:r w:rsidR="00BF7476" w:rsidRPr="22271A8B">
              <w:rPr>
                <w:rStyle w:val="normaltextrun"/>
                <w:rFonts w:ascii="Arial" w:hAnsi="Arial" w:cs="Arial"/>
              </w:rPr>
              <w:t>, commissioning frameworks and pricing t</w:t>
            </w:r>
            <w:r w:rsidR="0033131C" w:rsidRPr="22271A8B">
              <w:rPr>
                <w:rStyle w:val="normaltextrun"/>
                <w:rFonts w:ascii="Arial" w:hAnsi="Arial" w:cs="Arial"/>
              </w:rPr>
              <w:t>ool</w:t>
            </w:r>
            <w:r w:rsidR="00BF7476" w:rsidRPr="22271A8B">
              <w:rPr>
                <w:rStyle w:val="normaltextrun"/>
                <w:rFonts w:ascii="Arial" w:hAnsi="Arial" w:cs="Arial"/>
              </w:rPr>
              <w:t>s</w:t>
            </w:r>
            <w:r w:rsidR="007F0D64" w:rsidRPr="22271A8B">
              <w:rPr>
                <w:rStyle w:val="normaltextrun"/>
                <w:rFonts w:ascii="Arial" w:hAnsi="Arial" w:cs="Arial"/>
              </w:rPr>
              <w:t xml:space="preserve"> to secure timely, appropriate and cost-effective placements</w:t>
            </w:r>
            <w:r w:rsidR="00C24FD5" w:rsidRPr="22271A8B">
              <w:rPr>
                <w:rStyle w:val="normaltextrun"/>
                <w:rFonts w:ascii="Arial" w:hAnsi="Arial" w:cs="Arial"/>
              </w:rPr>
              <w:t>, undertaking</w:t>
            </w:r>
            <w:r w:rsidR="0033131C" w:rsidRPr="22271A8B">
              <w:rPr>
                <w:rStyle w:val="normaltextrun"/>
                <w:rFonts w:ascii="Arial" w:hAnsi="Arial" w:cs="Arial"/>
              </w:rPr>
              <w:t xml:space="preserve"> due diligence </w:t>
            </w:r>
            <w:r w:rsidR="16B83668" w:rsidRPr="22271A8B">
              <w:rPr>
                <w:rStyle w:val="normaltextrun"/>
                <w:rFonts w:ascii="Arial" w:hAnsi="Arial" w:cs="Arial"/>
              </w:rPr>
              <w:t xml:space="preserve">and </w:t>
            </w:r>
            <w:r w:rsidR="00C24FD5" w:rsidRPr="22271A8B">
              <w:rPr>
                <w:rStyle w:val="normaltextrun"/>
                <w:rFonts w:ascii="Arial" w:hAnsi="Arial" w:cs="Arial"/>
              </w:rPr>
              <w:t>negotiation</w:t>
            </w:r>
            <w:r w:rsidR="00A325F0" w:rsidRPr="22271A8B">
              <w:rPr>
                <w:rStyle w:val="normaltextrun"/>
                <w:rFonts w:ascii="Arial" w:hAnsi="Arial" w:cs="Arial"/>
              </w:rPr>
              <w:t xml:space="preserve"> activities in line with Council </w:t>
            </w:r>
            <w:r w:rsidR="00D45733" w:rsidRPr="22271A8B">
              <w:rPr>
                <w:rStyle w:val="normaltextrun"/>
                <w:rFonts w:ascii="Arial" w:hAnsi="Arial" w:cs="Arial"/>
              </w:rPr>
              <w:t>governance and commissioning requirements</w:t>
            </w:r>
            <w:r w:rsidR="0033131C" w:rsidRPr="22271A8B">
              <w:rPr>
                <w:rStyle w:val="normaltextrun"/>
                <w:rFonts w:ascii="Arial" w:hAnsi="Arial" w:cs="Arial"/>
              </w:rPr>
              <w:t>.</w:t>
            </w:r>
          </w:p>
        </w:tc>
      </w:tr>
      <w:tr w:rsidR="00243DBF" w:rsidRPr="008C5818" w14:paraId="7628ED0E" w14:textId="77777777" w:rsidTr="6BBCD04A">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CAA13C2" w:rsidR="00243DBF" w:rsidRPr="008C5818" w:rsidRDefault="0033131C" w:rsidP="00243DBF">
            <w:pPr>
              <w:spacing w:after="0"/>
              <w:rPr>
                <w:rFonts w:ascii="Arial" w:hAnsi="Arial" w:cs="Arial"/>
              </w:rPr>
            </w:pPr>
            <w:r>
              <w:rPr>
                <w:rFonts w:ascii="Arial" w:hAnsi="Arial" w:cs="Arial"/>
              </w:rPr>
              <w:t xml:space="preserve">Principal Officer for </w:t>
            </w:r>
            <w:r w:rsidR="008715BC">
              <w:rPr>
                <w:rFonts w:ascii="Arial" w:hAnsi="Arial" w:cs="Arial"/>
              </w:rPr>
              <w:t>L</w:t>
            </w:r>
            <w:r w:rsidR="008715BC">
              <w:t xml:space="preserve">ive </w:t>
            </w:r>
            <w:r>
              <w:rPr>
                <w:rFonts w:ascii="Arial" w:hAnsi="Arial" w:cs="Arial"/>
              </w:rPr>
              <w:t>Well Commissioning</w:t>
            </w:r>
          </w:p>
        </w:tc>
      </w:tr>
      <w:tr w:rsidR="00243DBF" w:rsidRPr="008C5818" w14:paraId="7E63A8F5" w14:textId="77777777" w:rsidTr="6BBCD04A">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4461D74" w:rsidR="00243DBF" w:rsidRPr="008C5818" w:rsidRDefault="0033131C"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6BBCD04A">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70282D6" w:rsidR="00243DBF" w:rsidRPr="0033131C" w:rsidRDefault="0033131C" w:rsidP="002317D1">
            <w:pPr>
              <w:rPr>
                <w:rFonts w:ascii="Arial" w:hAnsi="Arial" w:cs="Arial"/>
                <w:bCs/>
              </w:rPr>
            </w:pPr>
            <w:r w:rsidRPr="0033131C">
              <w:rPr>
                <w:rFonts w:ascii="Arial" w:hAnsi="Arial" w:cs="Arial"/>
                <w:bCs/>
              </w:rPr>
              <w:t xml:space="preserve">To respond professionally to referrals from Social Workers, ensuring the quality of information </w:t>
            </w:r>
            <w:r w:rsidR="00D12B89" w:rsidRPr="63C75F3F">
              <w:rPr>
                <w:rFonts w:ascii="Arial" w:hAnsi="Arial" w:cs="Arial"/>
              </w:rPr>
              <w:t xml:space="preserve">supports effective </w:t>
            </w:r>
            <w:r w:rsidRPr="63C75F3F">
              <w:rPr>
                <w:rFonts w:ascii="Arial" w:hAnsi="Arial" w:cs="Arial"/>
              </w:rPr>
              <w:t xml:space="preserve">placement </w:t>
            </w:r>
            <w:r w:rsidR="00254AC1" w:rsidRPr="63C75F3F">
              <w:rPr>
                <w:rFonts w:ascii="Arial" w:hAnsi="Arial" w:cs="Arial"/>
              </w:rPr>
              <w:t xml:space="preserve">matching </w:t>
            </w:r>
            <w:r w:rsidRPr="0033131C">
              <w:rPr>
                <w:rFonts w:ascii="Arial" w:hAnsi="Arial" w:cs="Arial"/>
                <w:bCs/>
              </w:rPr>
              <w:t xml:space="preserve">that meets assessed needs, </w:t>
            </w:r>
            <w:r w:rsidR="00564A86" w:rsidRPr="63C75F3F">
              <w:rPr>
                <w:rFonts w:ascii="Arial" w:hAnsi="Arial" w:cs="Arial"/>
              </w:rPr>
              <w:t>risk</w:t>
            </w:r>
            <w:r w:rsidR="0019498F" w:rsidRPr="63C75F3F">
              <w:rPr>
                <w:rFonts w:ascii="Arial" w:hAnsi="Arial" w:cs="Arial"/>
              </w:rPr>
              <w:t xml:space="preserve"> profiles and statutory requirements, while </w:t>
            </w:r>
            <w:r w:rsidR="007A506A" w:rsidRPr="63C75F3F">
              <w:rPr>
                <w:rFonts w:ascii="Arial" w:hAnsi="Arial" w:cs="Arial"/>
              </w:rPr>
              <w:t>achieving value for money</w:t>
            </w:r>
            <w:r>
              <w:rPr>
                <w:rFonts w:ascii="Arial" w:hAnsi="Arial" w:cs="Arial"/>
                <w:bCs/>
              </w:rPr>
              <w:t>.</w:t>
            </w:r>
          </w:p>
        </w:tc>
      </w:tr>
      <w:tr w:rsidR="00243DBF" w:rsidRPr="008C5818" w14:paraId="66C52C04" w14:textId="77777777" w:rsidTr="6BBCD04A">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0CB7A86A" w14:textId="657D6E04" w:rsidR="00243DBF" w:rsidRDefault="0033131C" w:rsidP="0033131C">
            <w:pPr>
              <w:pStyle w:val="NoSpacing"/>
              <w:jc w:val="both"/>
              <w:rPr>
                <w:rFonts w:ascii="Arial" w:hAnsi="Arial" w:cs="Arial"/>
              </w:rPr>
            </w:pPr>
            <w:r w:rsidRPr="00996CE6">
              <w:rPr>
                <w:rFonts w:ascii="Arial" w:hAnsi="Arial" w:cs="Arial"/>
              </w:rPr>
              <w:t>To receive</w:t>
            </w:r>
            <w:r w:rsidR="00B61A85" w:rsidRPr="63C75F3F">
              <w:rPr>
                <w:rFonts w:ascii="Arial" w:hAnsi="Arial" w:cs="Arial"/>
              </w:rPr>
              <w:t>,</w:t>
            </w:r>
            <w:r w:rsidRPr="63C75F3F">
              <w:rPr>
                <w:rFonts w:ascii="Arial" w:hAnsi="Arial" w:cs="Arial"/>
              </w:rPr>
              <w:t xml:space="preserve"> </w:t>
            </w:r>
            <w:r w:rsidRPr="00996CE6">
              <w:rPr>
                <w:rFonts w:ascii="Arial" w:hAnsi="Arial" w:cs="Arial"/>
              </w:rPr>
              <w:t xml:space="preserve">screen </w:t>
            </w:r>
            <w:r w:rsidR="00F0612F" w:rsidRPr="63C75F3F">
              <w:rPr>
                <w:rFonts w:ascii="Arial" w:hAnsi="Arial" w:cs="Arial"/>
              </w:rPr>
              <w:t xml:space="preserve">and prioritise </w:t>
            </w:r>
            <w:r w:rsidRPr="00996CE6">
              <w:rPr>
                <w:rFonts w:ascii="Arial" w:hAnsi="Arial" w:cs="Arial"/>
              </w:rPr>
              <w:t xml:space="preserve">referrals, understanding </w:t>
            </w:r>
            <w:r w:rsidR="001A3CAC" w:rsidRPr="63C75F3F">
              <w:rPr>
                <w:rFonts w:ascii="Arial" w:hAnsi="Arial" w:cs="Arial"/>
              </w:rPr>
              <w:t xml:space="preserve">the needs of </w:t>
            </w:r>
            <w:r w:rsidR="005F4207">
              <w:rPr>
                <w:rStyle w:val="normaltextrun"/>
                <w:rFonts w:ascii="Arial" w:hAnsi="Arial" w:cs="Arial"/>
              </w:rPr>
              <w:t xml:space="preserve">working age </w:t>
            </w:r>
            <w:r w:rsidR="005F4207" w:rsidRPr="63C75F3F">
              <w:rPr>
                <w:rStyle w:val="normaltextrun"/>
                <w:rFonts w:ascii="Arial" w:hAnsi="Arial" w:cs="Arial"/>
              </w:rPr>
              <w:t>adult</w:t>
            </w:r>
            <w:r w:rsidRPr="63C75F3F">
              <w:rPr>
                <w:rFonts w:ascii="Arial" w:hAnsi="Arial" w:cs="Arial"/>
              </w:rPr>
              <w:t>’s</w:t>
            </w:r>
            <w:r w:rsidR="002A6BA2" w:rsidRPr="63C75F3F">
              <w:rPr>
                <w:rFonts w:ascii="Arial" w:hAnsi="Arial" w:cs="Arial"/>
              </w:rPr>
              <w:t xml:space="preserve"> </w:t>
            </w:r>
            <w:r w:rsidR="006764F7" w:rsidRPr="63C75F3F">
              <w:rPr>
                <w:rFonts w:ascii="Arial" w:hAnsi="Arial" w:cs="Arial"/>
              </w:rPr>
              <w:t>and older people (where required)</w:t>
            </w:r>
            <w:r w:rsidRPr="63C75F3F">
              <w:rPr>
                <w:rFonts w:ascii="Arial" w:hAnsi="Arial" w:cs="Arial"/>
              </w:rPr>
              <w:t xml:space="preserve"> </w:t>
            </w:r>
            <w:r w:rsidRPr="00996CE6">
              <w:rPr>
                <w:rFonts w:ascii="Arial" w:hAnsi="Arial" w:cs="Arial"/>
              </w:rPr>
              <w:t xml:space="preserve">and the availability of </w:t>
            </w:r>
            <w:r w:rsidR="00341267" w:rsidRPr="63C75F3F">
              <w:rPr>
                <w:rFonts w:ascii="Arial" w:hAnsi="Arial" w:cs="Arial"/>
              </w:rPr>
              <w:t>suitable provision</w:t>
            </w:r>
            <w:r w:rsidRPr="00996CE6">
              <w:rPr>
                <w:rFonts w:ascii="Arial" w:hAnsi="Arial" w:cs="Arial"/>
              </w:rPr>
              <w:t xml:space="preserve">, liaising with other colleagues, providers and </w:t>
            </w:r>
            <w:r w:rsidRPr="63C75F3F">
              <w:rPr>
                <w:rFonts w:ascii="Arial" w:hAnsi="Arial" w:cs="Arial"/>
              </w:rPr>
              <w:t>partner</w:t>
            </w:r>
            <w:r w:rsidR="00503E36" w:rsidRPr="63C75F3F">
              <w:rPr>
                <w:rFonts w:ascii="Arial" w:hAnsi="Arial" w:cs="Arial"/>
              </w:rPr>
              <w:t xml:space="preserve"> agencies to </w:t>
            </w:r>
            <w:r w:rsidR="004B10B5" w:rsidRPr="63C75F3F">
              <w:rPr>
                <w:rFonts w:ascii="Arial" w:hAnsi="Arial" w:cs="Arial"/>
              </w:rPr>
              <w:t>coordinate</w:t>
            </w:r>
            <w:r w:rsidR="00CE3AD7" w:rsidRPr="63C75F3F">
              <w:rPr>
                <w:rFonts w:ascii="Arial" w:hAnsi="Arial" w:cs="Arial"/>
              </w:rPr>
              <w:t xml:space="preserve"> placement searches</w:t>
            </w:r>
            <w:r w:rsidR="00260F9E" w:rsidRPr="63C75F3F">
              <w:rPr>
                <w:rFonts w:ascii="Arial" w:hAnsi="Arial" w:cs="Arial"/>
              </w:rPr>
              <w:t xml:space="preserve"> </w:t>
            </w:r>
            <w:r w:rsidR="00B47A62" w:rsidRPr="63C75F3F">
              <w:rPr>
                <w:rFonts w:ascii="Arial" w:hAnsi="Arial" w:cs="Arial"/>
              </w:rPr>
              <w:t>within and out</w:t>
            </w:r>
            <w:r w:rsidR="00C60168" w:rsidRPr="63C75F3F">
              <w:rPr>
                <w:rFonts w:ascii="Arial" w:hAnsi="Arial" w:cs="Arial"/>
              </w:rPr>
              <w:t>-of-borough</w:t>
            </w:r>
            <w:r w:rsidRPr="00996CE6">
              <w:rPr>
                <w:rFonts w:ascii="Arial" w:hAnsi="Arial" w:cs="Arial"/>
              </w:rPr>
              <w:t>.</w:t>
            </w:r>
          </w:p>
          <w:p w14:paraId="5F4B4C90" w14:textId="1A4EBA8D" w:rsidR="0033131C" w:rsidRPr="008C5818" w:rsidRDefault="0033131C" w:rsidP="0033131C">
            <w:pPr>
              <w:pStyle w:val="NoSpacing"/>
              <w:jc w:val="both"/>
              <w:rPr>
                <w:rFonts w:ascii="Arial" w:hAnsi="Arial" w:cs="Arial"/>
              </w:rPr>
            </w:pPr>
          </w:p>
        </w:tc>
      </w:tr>
      <w:tr w:rsidR="00243DBF" w:rsidRPr="008C5818" w14:paraId="4CD78203" w14:textId="77777777" w:rsidTr="6BBCD04A">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1D218767" w14:textId="3D40940B" w:rsidR="00243DBF" w:rsidRDefault="0033131C" w:rsidP="0033131C">
            <w:pPr>
              <w:pStyle w:val="NoSpacing"/>
              <w:jc w:val="both"/>
              <w:rPr>
                <w:rFonts w:ascii="Arial" w:hAnsi="Arial" w:cs="Arial"/>
              </w:rPr>
            </w:pPr>
            <w:r w:rsidRPr="00996CE6">
              <w:rPr>
                <w:rFonts w:ascii="Arial" w:hAnsi="Arial" w:cs="Arial"/>
              </w:rPr>
              <w:t>To ensure placements comply with the required national standards and appropriate regulatory bodies</w:t>
            </w:r>
            <w:r w:rsidR="00392F4C" w:rsidRPr="63C75F3F">
              <w:rPr>
                <w:rFonts w:ascii="Arial" w:hAnsi="Arial" w:cs="Arial"/>
              </w:rPr>
              <w:t xml:space="preserve"> including </w:t>
            </w:r>
            <w:r w:rsidR="005F33EA" w:rsidRPr="63C75F3F">
              <w:rPr>
                <w:rFonts w:ascii="Arial" w:hAnsi="Arial" w:cs="Arial"/>
              </w:rPr>
              <w:t>CQC requirements, commissioning frameworks</w:t>
            </w:r>
            <w:r w:rsidRPr="00996CE6">
              <w:rPr>
                <w:rFonts w:ascii="Arial" w:hAnsi="Arial" w:cs="Arial"/>
              </w:rPr>
              <w:t xml:space="preserve">, and </w:t>
            </w:r>
            <w:r w:rsidR="00B21219" w:rsidRPr="63C75F3F">
              <w:rPr>
                <w:rFonts w:ascii="Arial" w:hAnsi="Arial" w:cs="Arial"/>
              </w:rPr>
              <w:t xml:space="preserve">Council contract procedures, </w:t>
            </w:r>
            <w:r w:rsidR="008C58BB" w:rsidRPr="63C75F3F">
              <w:rPr>
                <w:rFonts w:ascii="Arial" w:hAnsi="Arial" w:cs="Arial"/>
              </w:rPr>
              <w:t xml:space="preserve">contract </w:t>
            </w:r>
            <w:r w:rsidR="002177ED" w:rsidRPr="63C75F3F">
              <w:rPr>
                <w:rFonts w:ascii="Arial" w:hAnsi="Arial" w:cs="Arial"/>
              </w:rPr>
              <w:t xml:space="preserve">procurement rules, </w:t>
            </w:r>
            <w:r w:rsidR="00B21219" w:rsidRPr="63C75F3F">
              <w:rPr>
                <w:rFonts w:ascii="Arial" w:hAnsi="Arial" w:cs="Arial"/>
              </w:rPr>
              <w:t>ensuring all</w:t>
            </w:r>
            <w:r w:rsidRPr="00996CE6">
              <w:rPr>
                <w:rFonts w:ascii="Arial" w:hAnsi="Arial" w:cs="Arial"/>
              </w:rPr>
              <w:t xml:space="preserve"> placement documentation is completed </w:t>
            </w:r>
            <w:r w:rsidR="00F86F49" w:rsidRPr="63C75F3F">
              <w:rPr>
                <w:rFonts w:ascii="Arial" w:hAnsi="Arial" w:cs="Arial"/>
              </w:rPr>
              <w:t>accurately</w:t>
            </w:r>
            <w:r w:rsidRPr="00996CE6">
              <w:rPr>
                <w:rFonts w:ascii="Arial" w:hAnsi="Arial" w:cs="Arial"/>
              </w:rPr>
              <w:t xml:space="preserve"> and </w:t>
            </w:r>
            <w:r w:rsidR="00806E67" w:rsidRPr="63C75F3F">
              <w:rPr>
                <w:rFonts w:ascii="Arial" w:hAnsi="Arial" w:cs="Arial"/>
              </w:rPr>
              <w:t xml:space="preserve">within required </w:t>
            </w:r>
            <w:r w:rsidRPr="63C75F3F">
              <w:rPr>
                <w:rFonts w:ascii="Arial" w:hAnsi="Arial" w:cs="Arial"/>
              </w:rPr>
              <w:t>time</w:t>
            </w:r>
            <w:r w:rsidR="00213DDC" w:rsidRPr="63C75F3F">
              <w:rPr>
                <w:rFonts w:ascii="Arial" w:hAnsi="Arial" w:cs="Arial"/>
              </w:rPr>
              <w:t>scales</w:t>
            </w:r>
            <w:r w:rsidRPr="00996CE6">
              <w:rPr>
                <w:rFonts w:ascii="Arial" w:hAnsi="Arial" w:cs="Arial"/>
              </w:rPr>
              <w:t>.</w:t>
            </w:r>
          </w:p>
          <w:p w14:paraId="09744714" w14:textId="3A8BA53C" w:rsidR="0033131C" w:rsidRPr="008C5818" w:rsidRDefault="0033131C" w:rsidP="0033131C">
            <w:pPr>
              <w:pStyle w:val="NoSpacing"/>
              <w:jc w:val="both"/>
              <w:rPr>
                <w:rFonts w:ascii="Arial" w:hAnsi="Arial" w:cs="Arial"/>
              </w:rPr>
            </w:pPr>
          </w:p>
        </w:tc>
      </w:tr>
      <w:tr w:rsidR="00243DBF" w:rsidRPr="008C5818" w14:paraId="7836FBDE" w14:textId="77777777" w:rsidTr="6BBCD04A">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F97D2E3" w:rsidR="00243DBF" w:rsidRPr="008C5818" w:rsidRDefault="0033131C" w:rsidP="002317D1">
            <w:pPr>
              <w:rPr>
                <w:rFonts w:ascii="Arial" w:hAnsi="Arial" w:cs="Arial"/>
              </w:rPr>
            </w:pPr>
            <w:r w:rsidRPr="6BBCD04A">
              <w:rPr>
                <w:rFonts w:ascii="Arial" w:hAnsi="Arial" w:cs="Arial"/>
              </w:rPr>
              <w:t xml:space="preserve">To manage and maintain </w:t>
            </w:r>
            <w:r w:rsidR="50027555" w:rsidRPr="6BBCD04A">
              <w:rPr>
                <w:rFonts w:ascii="Arial" w:hAnsi="Arial" w:cs="Arial"/>
              </w:rPr>
              <w:t xml:space="preserve">accurate placement records using </w:t>
            </w:r>
            <w:r w:rsidRPr="6BBCD04A">
              <w:rPr>
                <w:rFonts w:ascii="Arial" w:hAnsi="Arial" w:cs="Arial"/>
              </w:rPr>
              <w:t xml:space="preserve">Liquid Logic, </w:t>
            </w:r>
            <w:r w:rsidR="4AC7BAA7" w:rsidRPr="6BBCD04A">
              <w:rPr>
                <w:rFonts w:ascii="Arial" w:hAnsi="Arial" w:cs="Arial"/>
              </w:rPr>
              <w:t xml:space="preserve">Controcc and associated systems, ensuring placement data is up to date, auditable </w:t>
            </w:r>
            <w:r w:rsidRPr="6BBCD04A">
              <w:rPr>
                <w:rFonts w:ascii="Arial" w:hAnsi="Arial" w:cs="Arial"/>
              </w:rPr>
              <w:t xml:space="preserve">and </w:t>
            </w:r>
            <w:r w:rsidR="3C152B8A" w:rsidRPr="6BBCD04A">
              <w:rPr>
                <w:rFonts w:ascii="Arial" w:hAnsi="Arial" w:cs="Arial"/>
              </w:rPr>
              <w:t xml:space="preserve">supports </w:t>
            </w:r>
            <w:r w:rsidR="3ABDA59E" w:rsidRPr="6BBCD04A">
              <w:rPr>
                <w:rFonts w:ascii="Arial" w:hAnsi="Arial" w:cs="Arial"/>
              </w:rPr>
              <w:t xml:space="preserve">service </w:t>
            </w:r>
            <w:r w:rsidR="0F5E34D1" w:rsidRPr="6BBCD04A">
              <w:rPr>
                <w:rFonts w:ascii="Arial" w:hAnsi="Arial" w:cs="Arial"/>
              </w:rPr>
              <w:t xml:space="preserve">performance monitoring </w:t>
            </w:r>
            <w:r w:rsidR="2522FAAF" w:rsidRPr="6BBCD04A">
              <w:rPr>
                <w:rFonts w:ascii="Arial" w:hAnsi="Arial" w:cs="Arial"/>
              </w:rPr>
              <w:t>and commissioning intelligence</w:t>
            </w:r>
            <w:r w:rsidRPr="6BBCD04A">
              <w:rPr>
                <w:rFonts w:ascii="Arial" w:hAnsi="Arial" w:cs="Arial"/>
              </w:rPr>
              <w:t>.</w:t>
            </w:r>
          </w:p>
        </w:tc>
      </w:tr>
      <w:tr w:rsidR="00243DBF" w:rsidRPr="008C5818" w14:paraId="24D154FC" w14:textId="77777777" w:rsidTr="6BBCD04A">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42E17702" w:rsidR="00243DBF" w:rsidRPr="008C5818" w:rsidRDefault="0033131C" w:rsidP="002317D1">
            <w:pPr>
              <w:rPr>
                <w:rFonts w:ascii="Arial" w:hAnsi="Arial" w:cs="Arial"/>
              </w:rPr>
            </w:pPr>
            <w:r w:rsidRPr="6BBCD04A">
              <w:rPr>
                <w:rFonts w:ascii="Arial" w:hAnsi="Arial" w:cs="Arial"/>
              </w:rPr>
              <w:t xml:space="preserve">To maintain </w:t>
            </w:r>
            <w:r w:rsidR="11CBABE4" w:rsidRPr="6BBCD04A">
              <w:rPr>
                <w:rFonts w:ascii="Arial" w:hAnsi="Arial" w:cs="Arial"/>
              </w:rPr>
              <w:t xml:space="preserve">clear </w:t>
            </w:r>
            <w:r w:rsidRPr="6BBCD04A">
              <w:rPr>
                <w:rFonts w:ascii="Arial" w:hAnsi="Arial" w:cs="Arial"/>
              </w:rPr>
              <w:t>records of all placement search activity</w:t>
            </w:r>
            <w:r w:rsidR="3933769E" w:rsidRPr="6BBCD04A">
              <w:rPr>
                <w:rFonts w:ascii="Arial" w:hAnsi="Arial" w:cs="Arial"/>
              </w:rPr>
              <w:t>, provider responses, refusals</w:t>
            </w:r>
            <w:r w:rsidR="1BE33B28" w:rsidRPr="6BBCD04A">
              <w:rPr>
                <w:rFonts w:ascii="Arial" w:hAnsi="Arial" w:cs="Arial"/>
              </w:rPr>
              <w:t xml:space="preserve">, negotiated rates and placement outcomes, </w:t>
            </w:r>
            <w:r w:rsidR="2C34A7E2" w:rsidRPr="6BBCD04A">
              <w:rPr>
                <w:rFonts w:ascii="Arial" w:hAnsi="Arial" w:cs="Arial"/>
              </w:rPr>
              <w:t xml:space="preserve">providing </w:t>
            </w:r>
            <w:r w:rsidRPr="6BBCD04A">
              <w:rPr>
                <w:rFonts w:ascii="Arial" w:hAnsi="Arial" w:cs="Arial"/>
              </w:rPr>
              <w:t>regular</w:t>
            </w:r>
            <w:r w:rsidR="2C34A7E2" w:rsidRPr="6BBCD04A">
              <w:rPr>
                <w:rFonts w:ascii="Arial" w:hAnsi="Arial" w:cs="Arial"/>
              </w:rPr>
              <w:t xml:space="preserve"> updates</w:t>
            </w:r>
            <w:r w:rsidRPr="6BBCD04A">
              <w:rPr>
                <w:rFonts w:ascii="Arial" w:hAnsi="Arial" w:cs="Arial"/>
              </w:rPr>
              <w:t xml:space="preserve"> to the Head of Service</w:t>
            </w:r>
            <w:r w:rsidR="5003DE85" w:rsidRPr="6BBCD04A">
              <w:rPr>
                <w:rFonts w:ascii="Arial" w:hAnsi="Arial" w:cs="Arial"/>
              </w:rPr>
              <w:t xml:space="preserve"> and contributing </w:t>
            </w:r>
            <w:r w:rsidR="288926B4" w:rsidRPr="6BBCD04A">
              <w:rPr>
                <w:rFonts w:ascii="Arial" w:hAnsi="Arial" w:cs="Arial"/>
              </w:rPr>
              <w:t>to performance reporting and market analysis</w:t>
            </w:r>
            <w:r w:rsidRPr="6BBCD04A">
              <w:rPr>
                <w:rFonts w:ascii="Arial" w:hAnsi="Arial" w:cs="Arial"/>
              </w:rPr>
              <w:t>.</w:t>
            </w:r>
          </w:p>
        </w:tc>
      </w:tr>
      <w:tr w:rsidR="00243DBF" w:rsidRPr="008C5818" w14:paraId="02297567" w14:textId="77777777" w:rsidTr="6BBCD04A">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188D704A" w:rsidR="00243DBF" w:rsidRPr="008C5818" w:rsidRDefault="0029324E" w:rsidP="002317D1">
            <w:pPr>
              <w:rPr>
                <w:rFonts w:ascii="Arial" w:hAnsi="Arial" w:cs="Arial"/>
              </w:rPr>
            </w:pPr>
            <w:r w:rsidRPr="63C75F3F">
              <w:rPr>
                <w:rFonts w:ascii="Arial" w:hAnsi="Arial" w:cs="Arial"/>
              </w:rPr>
              <w:t>To e</w:t>
            </w:r>
            <w:r w:rsidR="0033131C" w:rsidRPr="63C75F3F">
              <w:rPr>
                <w:rFonts w:ascii="Arial" w:hAnsi="Arial" w:cs="Arial"/>
              </w:rPr>
              <w:t>nsur</w:t>
            </w:r>
            <w:r w:rsidRPr="63C75F3F">
              <w:rPr>
                <w:rFonts w:ascii="Arial" w:hAnsi="Arial" w:cs="Arial"/>
              </w:rPr>
              <w:t>e</w:t>
            </w:r>
            <w:r w:rsidR="0033131C" w:rsidRPr="0033131C">
              <w:rPr>
                <w:rFonts w:ascii="Arial" w:hAnsi="Arial" w:cs="Arial"/>
              </w:rPr>
              <w:t xml:space="preserve"> that the relevant placement-related documentation is completed following placement agreement, in a timely manner.</w:t>
            </w:r>
          </w:p>
        </w:tc>
      </w:tr>
      <w:tr w:rsidR="00243DBF" w:rsidRPr="008C5818" w14:paraId="0D0B149A" w14:textId="77777777" w:rsidTr="6BBCD04A">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lastRenderedPageBreak/>
              <w:t>7</w:t>
            </w:r>
          </w:p>
        </w:tc>
        <w:tc>
          <w:tcPr>
            <w:tcW w:w="8829" w:type="dxa"/>
            <w:gridSpan w:val="2"/>
          </w:tcPr>
          <w:p w14:paraId="37D1F75A" w14:textId="3876B357" w:rsidR="00243DBF" w:rsidRPr="008C5818" w:rsidRDefault="0078247B" w:rsidP="002317D1">
            <w:pPr>
              <w:rPr>
                <w:rFonts w:ascii="Arial" w:hAnsi="Arial" w:cs="Arial"/>
              </w:rPr>
            </w:pPr>
            <w:r w:rsidRPr="63C75F3F">
              <w:rPr>
                <w:rFonts w:ascii="Arial" w:hAnsi="Arial" w:cs="Arial"/>
              </w:rPr>
              <w:t xml:space="preserve">To </w:t>
            </w:r>
            <w:r w:rsidR="00C056D7" w:rsidRPr="63C75F3F">
              <w:rPr>
                <w:rFonts w:ascii="Arial" w:hAnsi="Arial" w:cs="Arial"/>
              </w:rPr>
              <w:t>e</w:t>
            </w:r>
            <w:r w:rsidR="0033131C" w:rsidRPr="63C75F3F">
              <w:rPr>
                <w:rFonts w:ascii="Arial" w:hAnsi="Arial" w:cs="Arial"/>
              </w:rPr>
              <w:t>nsur</w:t>
            </w:r>
            <w:r w:rsidR="00C056D7" w:rsidRPr="63C75F3F">
              <w:rPr>
                <w:rFonts w:ascii="Arial" w:hAnsi="Arial" w:cs="Arial"/>
              </w:rPr>
              <w:t>e</w:t>
            </w:r>
            <w:r w:rsidR="0033131C" w:rsidRPr="0033131C">
              <w:rPr>
                <w:rFonts w:ascii="Arial" w:hAnsi="Arial" w:cs="Arial"/>
              </w:rPr>
              <w:t xml:space="preserve"> that all risk related information around providers is shared with the relevant bodies, to allow for the correct formulation of Information Sharing Protocols (IPA), and the minimisation of harm to </w:t>
            </w:r>
            <w:r w:rsidR="00C561F5">
              <w:rPr>
                <w:rStyle w:val="normaltextrun"/>
                <w:rFonts w:ascii="Arial" w:hAnsi="Arial" w:cs="Arial"/>
              </w:rPr>
              <w:t>working age adults</w:t>
            </w:r>
            <w:r w:rsidR="00C561F5" w:rsidRPr="0033131C" w:rsidDel="00C561F5">
              <w:rPr>
                <w:rFonts w:ascii="Arial" w:hAnsi="Arial" w:cs="Arial"/>
              </w:rPr>
              <w:t xml:space="preserve"> </w:t>
            </w:r>
            <w:r w:rsidR="0033131C" w:rsidRPr="0033131C">
              <w:rPr>
                <w:rFonts w:ascii="Arial" w:hAnsi="Arial" w:cs="Arial"/>
              </w:rPr>
              <w:t>and other placement stabilities.</w:t>
            </w:r>
          </w:p>
        </w:tc>
      </w:tr>
      <w:tr w:rsidR="00243DBF" w:rsidRPr="008C5818" w14:paraId="2A778202" w14:textId="77777777" w:rsidTr="6BBCD04A">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786EB6CF" w:rsidR="00243DBF" w:rsidRPr="008C5818" w:rsidRDefault="0033131C" w:rsidP="002317D1">
            <w:pPr>
              <w:rPr>
                <w:rFonts w:ascii="Arial" w:hAnsi="Arial" w:cs="Arial"/>
              </w:rPr>
            </w:pPr>
            <w:r w:rsidRPr="63C75F3F">
              <w:rPr>
                <w:rFonts w:ascii="Arial" w:hAnsi="Arial" w:cs="Arial"/>
              </w:rPr>
              <w:t xml:space="preserve">To attend and contribute to </w:t>
            </w:r>
            <w:r w:rsidR="0084132B" w:rsidRPr="63C75F3F">
              <w:rPr>
                <w:rFonts w:ascii="Arial" w:hAnsi="Arial" w:cs="Arial"/>
              </w:rPr>
              <w:t>placement panels, discharge meetings</w:t>
            </w:r>
            <w:r w:rsidR="003443E6" w:rsidRPr="63C75F3F">
              <w:rPr>
                <w:rFonts w:ascii="Arial" w:hAnsi="Arial" w:cs="Arial"/>
              </w:rPr>
              <w:t xml:space="preserve">, safeguarding meetings </w:t>
            </w:r>
            <w:r w:rsidRPr="63C75F3F">
              <w:rPr>
                <w:rFonts w:ascii="Arial" w:hAnsi="Arial" w:cs="Arial"/>
              </w:rPr>
              <w:t xml:space="preserve">and multi-agency </w:t>
            </w:r>
            <w:r w:rsidR="00622455" w:rsidRPr="63C75F3F">
              <w:rPr>
                <w:rFonts w:ascii="Arial" w:hAnsi="Arial" w:cs="Arial"/>
              </w:rPr>
              <w:t xml:space="preserve">forums </w:t>
            </w:r>
            <w:r w:rsidRPr="63C75F3F">
              <w:rPr>
                <w:rFonts w:ascii="Arial" w:hAnsi="Arial" w:cs="Arial"/>
              </w:rPr>
              <w:t xml:space="preserve">relating to </w:t>
            </w:r>
            <w:r w:rsidR="00107AD7" w:rsidRPr="63C75F3F">
              <w:rPr>
                <w:rFonts w:ascii="Arial" w:hAnsi="Arial" w:cs="Arial"/>
              </w:rPr>
              <w:t xml:space="preserve">Live Well and </w:t>
            </w:r>
            <w:r w:rsidR="002A6CA4" w:rsidRPr="63C75F3F">
              <w:rPr>
                <w:rFonts w:ascii="Arial" w:hAnsi="Arial" w:cs="Arial"/>
              </w:rPr>
              <w:t xml:space="preserve">Age Well </w:t>
            </w:r>
            <w:r w:rsidRPr="63C75F3F">
              <w:rPr>
                <w:rFonts w:ascii="Arial" w:hAnsi="Arial" w:cs="Arial"/>
              </w:rPr>
              <w:t xml:space="preserve">placement </w:t>
            </w:r>
            <w:r w:rsidR="00507E9C" w:rsidRPr="63C75F3F">
              <w:rPr>
                <w:rFonts w:ascii="Arial" w:hAnsi="Arial" w:cs="Arial"/>
              </w:rPr>
              <w:t xml:space="preserve">activity </w:t>
            </w:r>
            <w:r w:rsidRPr="63C75F3F">
              <w:rPr>
                <w:rFonts w:ascii="Arial" w:hAnsi="Arial" w:cs="Arial"/>
              </w:rPr>
              <w:t xml:space="preserve">where </w:t>
            </w:r>
            <w:r w:rsidR="00EC5BA8" w:rsidRPr="63C75F3F">
              <w:rPr>
                <w:rFonts w:ascii="Arial" w:hAnsi="Arial" w:cs="Arial"/>
              </w:rPr>
              <w:t>required</w:t>
            </w:r>
            <w:r w:rsidRPr="63C75F3F">
              <w:rPr>
                <w:rFonts w:ascii="Arial" w:hAnsi="Arial" w:cs="Arial"/>
              </w:rPr>
              <w:t>.</w:t>
            </w:r>
          </w:p>
        </w:tc>
      </w:tr>
      <w:tr w:rsidR="00243DBF" w:rsidRPr="008C5818" w14:paraId="2AB68441" w14:textId="77777777" w:rsidTr="6BBCD04A">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59B994FA" w:rsidR="00243DBF" w:rsidRPr="008C5818" w:rsidRDefault="0033131C" w:rsidP="002317D1">
            <w:pPr>
              <w:rPr>
                <w:rFonts w:ascii="Arial" w:hAnsi="Arial" w:cs="Arial"/>
              </w:rPr>
            </w:pPr>
            <w:r w:rsidRPr="00107E4D">
              <w:rPr>
                <w:rFonts w:ascii="Arial" w:hAnsi="Arial" w:cs="Arial"/>
              </w:rPr>
              <w:t xml:space="preserve">To </w:t>
            </w:r>
            <w:r w:rsidR="002C4417" w:rsidRPr="00107E4D">
              <w:rPr>
                <w:rFonts w:ascii="Arial" w:hAnsi="Arial" w:cs="Arial"/>
              </w:rPr>
              <w:t>develop and main</w:t>
            </w:r>
            <w:r w:rsidR="00F40C79" w:rsidRPr="00107E4D">
              <w:rPr>
                <w:rFonts w:ascii="Arial" w:hAnsi="Arial" w:cs="Arial"/>
              </w:rPr>
              <w:t xml:space="preserve">tain effective working relationships with Social Work </w:t>
            </w:r>
            <w:r w:rsidR="006F08B2" w:rsidRPr="00107E4D">
              <w:rPr>
                <w:rFonts w:ascii="Arial" w:hAnsi="Arial" w:cs="Arial"/>
              </w:rPr>
              <w:t xml:space="preserve">teams, providers, commissioning colleagues, Quality Assurance </w:t>
            </w:r>
            <w:r w:rsidR="00243D13" w:rsidRPr="00107E4D">
              <w:rPr>
                <w:rFonts w:ascii="Arial" w:hAnsi="Arial" w:cs="Arial"/>
              </w:rPr>
              <w:t xml:space="preserve">team, Finance and </w:t>
            </w:r>
            <w:r w:rsidRPr="00107E4D">
              <w:rPr>
                <w:rFonts w:ascii="Arial" w:hAnsi="Arial" w:cs="Arial"/>
              </w:rPr>
              <w:t>partner agencies</w:t>
            </w:r>
            <w:r w:rsidR="00797687" w:rsidRPr="00107E4D">
              <w:rPr>
                <w:rFonts w:ascii="Arial" w:hAnsi="Arial" w:cs="Arial"/>
              </w:rPr>
              <w:t xml:space="preserve"> to support coordinated and timely placement activity</w:t>
            </w:r>
            <w:r w:rsidR="00581A01" w:rsidRPr="00107E4D">
              <w:rPr>
                <w:rFonts w:ascii="Arial" w:hAnsi="Arial" w:cs="Arial"/>
              </w:rPr>
              <w:t>.</w:t>
            </w:r>
            <w:r w:rsidR="00581A01" w:rsidRPr="63C75F3F">
              <w:rPr>
                <w:rFonts w:ascii="Arial" w:hAnsi="Arial" w:cs="Arial"/>
              </w:rPr>
              <w:t xml:space="preserve"> This may include</w:t>
            </w:r>
            <w:r w:rsidR="00FD0CD3" w:rsidRPr="63C75F3F">
              <w:rPr>
                <w:rFonts w:ascii="Arial" w:hAnsi="Arial" w:cs="Arial"/>
              </w:rPr>
              <w:t xml:space="preserve"> supporting placement activity across Live Well and Age Well </w:t>
            </w:r>
            <w:r w:rsidR="00367454" w:rsidRPr="63C75F3F">
              <w:rPr>
                <w:rFonts w:ascii="Arial" w:hAnsi="Arial" w:cs="Arial"/>
              </w:rPr>
              <w:t>services to ensure service continuity and operational resilience</w:t>
            </w:r>
            <w:r w:rsidRPr="63C75F3F">
              <w:rPr>
                <w:rFonts w:ascii="Arial" w:hAnsi="Arial" w:cs="Arial"/>
              </w:rPr>
              <w:t>.</w:t>
            </w:r>
          </w:p>
        </w:tc>
      </w:tr>
      <w:tr w:rsidR="00243DBF" w:rsidRPr="008C5818" w14:paraId="5E512CA3" w14:textId="77777777" w:rsidTr="6BBCD04A">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567BDE8F" w:rsidR="00243DBF" w:rsidRPr="008C5818" w:rsidRDefault="00332F40" w:rsidP="002317D1">
            <w:pPr>
              <w:rPr>
                <w:rFonts w:ascii="Arial" w:hAnsi="Arial" w:cs="Arial"/>
              </w:rPr>
            </w:pPr>
            <w:r w:rsidRPr="63C75F3F">
              <w:rPr>
                <w:rFonts w:ascii="Arial" w:hAnsi="Arial" w:cs="Arial"/>
              </w:rPr>
              <w:t xml:space="preserve">To </w:t>
            </w:r>
            <w:r w:rsidR="00655CEA" w:rsidRPr="63C75F3F">
              <w:rPr>
                <w:rFonts w:ascii="Arial" w:hAnsi="Arial" w:cs="Arial"/>
              </w:rPr>
              <w:t>support the continuous improvement of brokerage processes</w:t>
            </w:r>
            <w:r w:rsidR="00D41E75" w:rsidRPr="63C75F3F">
              <w:rPr>
                <w:rFonts w:ascii="Arial" w:hAnsi="Arial" w:cs="Arial"/>
              </w:rPr>
              <w:t xml:space="preserve">, workflows and systems, identifying operational </w:t>
            </w:r>
            <w:r w:rsidR="0033131C" w:rsidRPr="63C75F3F">
              <w:rPr>
                <w:rFonts w:ascii="Arial" w:hAnsi="Arial" w:cs="Arial"/>
              </w:rPr>
              <w:t>risks</w:t>
            </w:r>
            <w:r w:rsidR="007A034C" w:rsidRPr="63C75F3F">
              <w:rPr>
                <w:rFonts w:ascii="Arial" w:hAnsi="Arial" w:cs="Arial"/>
              </w:rPr>
              <w:t>, capacity pressures and market gaps</w:t>
            </w:r>
            <w:r w:rsidR="00BC4254" w:rsidRPr="63C75F3F">
              <w:rPr>
                <w:rFonts w:ascii="Arial" w:hAnsi="Arial" w:cs="Arial"/>
              </w:rPr>
              <w:t xml:space="preserve"> and escalating issues</w:t>
            </w:r>
            <w:r w:rsidR="0033131C" w:rsidRPr="63C75F3F">
              <w:rPr>
                <w:rFonts w:ascii="Arial" w:hAnsi="Arial" w:cs="Arial"/>
              </w:rPr>
              <w:t xml:space="preserve"> to </w:t>
            </w:r>
            <w:r w:rsidR="00BC4254" w:rsidRPr="63C75F3F">
              <w:rPr>
                <w:rFonts w:ascii="Arial" w:hAnsi="Arial" w:cs="Arial"/>
              </w:rPr>
              <w:t>senior management</w:t>
            </w:r>
            <w:r w:rsidR="0033131C" w:rsidRPr="63C75F3F">
              <w:rPr>
                <w:rFonts w:ascii="Arial" w:hAnsi="Arial" w:cs="Arial"/>
              </w:rPr>
              <w:t xml:space="preserve"> in a timely manner.</w:t>
            </w:r>
          </w:p>
        </w:tc>
      </w:tr>
      <w:tr w:rsidR="0033131C" w:rsidRPr="008C5818" w14:paraId="006DDBE1" w14:textId="77777777" w:rsidTr="6BBCD04A">
        <w:trPr>
          <w:trHeight w:val="506"/>
        </w:trPr>
        <w:tc>
          <w:tcPr>
            <w:tcW w:w="809" w:type="dxa"/>
          </w:tcPr>
          <w:p w14:paraId="4D82DC45" w14:textId="346AC5AA" w:rsidR="0033131C" w:rsidRDefault="0033131C" w:rsidP="002317D1">
            <w:pPr>
              <w:rPr>
                <w:rFonts w:ascii="Arial" w:hAnsi="Arial" w:cs="Arial"/>
                <w:b/>
              </w:rPr>
            </w:pPr>
            <w:r>
              <w:rPr>
                <w:rFonts w:ascii="Arial" w:hAnsi="Arial" w:cs="Arial"/>
                <w:b/>
              </w:rPr>
              <w:t>11</w:t>
            </w:r>
          </w:p>
        </w:tc>
        <w:tc>
          <w:tcPr>
            <w:tcW w:w="8829" w:type="dxa"/>
            <w:gridSpan w:val="2"/>
          </w:tcPr>
          <w:p w14:paraId="1233E11D" w14:textId="432A724B" w:rsidR="0033131C" w:rsidRDefault="0033131C" w:rsidP="0033131C">
            <w:pPr>
              <w:pStyle w:val="NoSpacing"/>
              <w:jc w:val="both"/>
              <w:rPr>
                <w:rFonts w:ascii="Arial" w:hAnsi="Arial" w:cs="Arial"/>
              </w:rPr>
            </w:pPr>
            <w:r w:rsidRPr="63C75F3F">
              <w:rPr>
                <w:rFonts w:ascii="Arial" w:hAnsi="Arial" w:cs="Arial"/>
              </w:rPr>
              <w:t xml:space="preserve">To </w:t>
            </w:r>
            <w:r w:rsidR="006963CA" w:rsidRPr="63C75F3F">
              <w:rPr>
                <w:rFonts w:ascii="Arial" w:hAnsi="Arial" w:cs="Arial"/>
              </w:rPr>
              <w:t xml:space="preserve">verify placement costs and invoices submitted by </w:t>
            </w:r>
            <w:r w:rsidRPr="63C75F3F">
              <w:rPr>
                <w:rFonts w:ascii="Arial" w:hAnsi="Arial" w:cs="Arial"/>
              </w:rPr>
              <w:t>providers</w:t>
            </w:r>
            <w:r w:rsidR="00704B2A" w:rsidRPr="63C75F3F">
              <w:rPr>
                <w:rFonts w:ascii="Arial" w:hAnsi="Arial" w:cs="Arial"/>
              </w:rPr>
              <w:t>,</w:t>
            </w:r>
            <w:r w:rsidRPr="63C75F3F">
              <w:rPr>
                <w:rFonts w:ascii="Arial" w:hAnsi="Arial" w:cs="Arial"/>
              </w:rPr>
              <w:t xml:space="preserve"> ensur</w:t>
            </w:r>
            <w:r w:rsidR="00704B2A" w:rsidRPr="63C75F3F">
              <w:rPr>
                <w:rFonts w:ascii="Arial" w:hAnsi="Arial" w:cs="Arial"/>
              </w:rPr>
              <w:t>ing</w:t>
            </w:r>
            <w:r w:rsidRPr="63C75F3F">
              <w:rPr>
                <w:rFonts w:ascii="Arial" w:hAnsi="Arial" w:cs="Arial"/>
              </w:rPr>
              <w:t xml:space="preserve"> accura</w:t>
            </w:r>
            <w:r w:rsidR="000D4E8E" w:rsidRPr="63C75F3F">
              <w:rPr>
                <w:rFonts w:ascii="Arial" w:hAnsi="Arial" w:cs="Arial"/>
              </w:rPr>
              <w:t>cy</w:t>
            </w:r>
            <w:r w:rsidR="00BB2885" w:rsidRPr="63C75F3F">
              <w:rPr>
                <w:rFonts w:ascii="Arial" w:hAnsi="Arial" w:cs="Arial"/>
              </w:rPr>
              <w:t>,</w:t>
            </w:r>
            <w:r w:rsidRPr="63C75F3F">
              <w:rPr>
                <w:rFonts w:ascii="Arial" w:hAnsi="Arial" w:cs="Arial"/>
              </w:rPr>
              <w:t xml:space="preserve"> </w:t>
            </w:r>
            <w:r w:rsidR="00BB2885" w:rsidRPr="63C75F3F">
              <w:rPr>
                <w:rFonts w:ascii="Arial" w:hAnsi="Arial" w:cs="Arial"/>
              </w:rPr>
              <w:t xml:space="preserve">contractual compliance </w:t>
            </w:r>
            <w:r w:rsidRPr="63C75F3F">
              <w:rPr>
                <w:rFonts w:ascii="Arial" w:hAnsi="Arial" w:cs="Arial"/>
              </w:rPr>
              <w:t xml:space="preserve">and </w:t>
            </w:r>
            <w:r w:rsidR="00BB2885" w:rsidRPr="63C75F3F">
              <w:rPr>
                <w:rFonts w:ascii="Arial" w:hAnsi="Arial" w:cs="Arial"/>
              </w:rPr>
              <w:t xml:space="preserve">alignment with </w:t>
            </w:r>
            <w:r w:rsidR="00824AF4" w:rsidRPr="63C75F3F">
              <w:rPr>
                <w:rFonts w:ascii="Arial" w:hAnsi="Arial" w:cs="Arial"/>
              </w:rPr>
              <w:t>agreed placement rates</w:t>
            </w:r>
            <w:r w:rsidRPr="63C75F3F">
              <w:rPr>
                <w:rFonts w:ascii="Arial" w:hAnsi="Arial" w:cs="Arial"/>
              </w:rPr>
              <w:t>.</w:t>
            </w:r>
          </w:p>
          <w:p w14:paraId="3049206E" w14:textId="686B448E" w:rsidR="0033131C" w:rsidRPr="008C5818" w:rsidRDefault="0033131C" w:rsidP="0033131C">
            <w:pPr>
              <w:pStyle w:val="NoSpacing"/>
              <w:jc w:val="both"/>
              <w:rPr>
                <w:rFonts w:ascii="Arial" w:hAnsi="Arial" w:cs="Arial"/>
              </w:rPr>
            </w:pPr>
          </w:p>
        </w:tc>
      </w:tr>
      <w:tr w:rsidR="0033131C" w:rsidRPr="008C5818" w14:paraId="38FAA4CE" w14:textId="77777777" w:rsidTr="6BBCD04A">
        <w:trPr>
          <w:trHeight w:val="506"/>
        </w:trPr>
        <w:tc>
          <w:tcPr>
            <w:tcW w:w="809" w:type="dxa"/>
          </w:tcPr>
          <w:p w14:paraId="6703207D" w14:textId="1C230FEB" w:rsidR="0033131C" w:rsidRDefault="0033131C" w:rsidP="002317D1">
            <w:pPr>
              <w:rPr>
                <w:rFonts w:ascii="Arial" w:hAnsi="Arial" w:cs="Arial"/>
                <w:b/>
              </w:rPr>
            </w:pPr>
            <w:r>
              <w:rPr>
                <w:rFonts w:ascii="Arial" w:hAnsi="Arial" w:cs="Arial"/>
                <w:b/>
              </w:rPr>
              <w:t>12</w:t>
            </w:r>
          </w:p>
        </w:tc>
        <w:tc>
          <w:tcPr>
            <w:tcW w:w="8829" w:type="dxa"/>
            <w:gridSpan w:val="2"/>
          </w:tcPr>
          <w:p w14:paraId="7E024AC0" w14:textId="44F4AB34" w:rsidR="0033131C" w:rsidRPr="008C5818" w:rsidRDefault="0033131C" w:rsidP="002317D1">
            <w:pPr>
              <w:rPr>
                <w:rFonts w:ascii="Arial" w:hAnsi="Arial" w:cs="Arial"/>
              </w:rPr>
            </w:pPr>
            <w:r w:rsidRPr="0033131C">
              <w:rPr>
                <w:rFonts w:ascii="Arial" w:hAnsi="Arial" w:cs="Arial"/>
              </w:rPr>
              <w:t>To positively and proactively contribute to problem solving using a teamwork approach where appropriate.</w:t>
            </w:r>
          </w:p>
        </w:tc>
      </w:tr>
      <w:tr w:rsidR="0033131C" w:rsidRPr="008C5818" w14:paraId="0D5AD022" w14:textId="77777777" w:rsidTr="6BBCD04A">
        <w:trPr>
          <w:trHeight w:val="506"/>
        </w:trPr>
        <w:tc>
          <w:tcPr>
            <w:tcW w:w="809" w:type="dxa"/>
          </w:tcPr>
          <w:p w14:paraId="75E4F77D" w14:textId="4DF016AF" w:rsidR="0033131C" w:rsidRDefault="0033131C" w:rsidP="002317D1">
            <w:pPr>
              <w:rPr>
                <w:rFonts w:ascii="Arial" w:hAnsi="Arial" w:cs="Arial"/>
                <w:b/>
              </w:rPr>
            </w:pPr>
            <w:r>
              <w:rPr>
                <w:rFonts w:ascii="Arial" w:hAnsi="Arial" w:cs="Arial"/>
                <w:b/>
              </w:rPr>
              <w:t>13</w:t>
            </w:r>
          </w:p>
        </w:tc>
        <w:tc>
          <w:tcPr>
            <w:tcW w:w="8829" w:type="dxa"/>
            <w:gridSpan w:val="2"/>
          </w:tcPr>
          <w:p w14:paraId="6BF767ED" w14:textId="0FD8B37B" w:rsidR="0033131C" w:rsidRPr="008C5818" w:rsidRDefault="006E6762" w:rsidP="002317D1">
            <w:pPr>
              <w:rPr>
                <w:rFonts w:ascii="Arial" w:hAnsi="Arial" w:cs="Arial"/>
              </w:rPr>
            </w:pPr>
            <w:r w:rsidRPr="63C75F3F">
              <w:rPr>
                <w:rFonts w:ascii="Arial" w:hAnsi="Arial" w:cs="Arial"/>
              </w:rPr>
              <w:t xml:space="preserve">To </w:t>
            </w:r>
            <w:r w:rsidR="0033131C" w:rsidRPr="63C75F3F">
              <w:rPr>
                <w:rFonts w:ascii="Arial" w:hAnsi="Arial" w:cs="Arial"/>
              </w:rPr>
              <w:t>support colleagues</w:t>
            </w:r>
            <w:r w:rsidR="00E81323" w:rsidRPr="63C75F3F">
              <w:rPr>
                <w:rFonts w:ascii="Arial" w:hAnsi="Arial" w:cs="Arial"/>
              </w:rPr>
              <w:t xml:space="preserve"> and agencies</w:t>
            </w:r>
            <w:r w:rsidR="005F0F12" w:rsidRPr="63C75F3F">
              <w:rPr>
                <w:rFonts w:ascii="Arial" w:hAnsi="Arial" w:cs="Arial"/>
              </w:rPr>
              <w:t>’</w:t>
            </w:r>
            <w:r w:rsidR="0033131C" w:rsidRPr="63C75F3F">
              <w:rPr>
                <w:rFonts w:ascii="Arial" w:hAnsi="Arial" w:cs="Arial"/>
              </w:rPr>
              <w:t xml:space="preserve"> </w:t>
            </w:r>
            <w:r w:rsidR="005F0F12" w:rsidRPr="63C75F3F">
              <w:rPr>
                <w:rFonts w:ascii="Arial" w:hAnsi="Arial" w:cs="Arial"/>
              </w:rPr>
              <w:t xml:space="preserve">understanding of </w:t>
            </w:r>
            <w:r w:rsidR="00E90320" w:rsidRPr="63C75F3F">
              <w:rPr>
                <w:rFonts w:ascii="Arial" w:hAnsi="Arial" w:cs="Arial"/>
              </w:rPr>
              <w:t>brokerage processes, commissioning frameworks and placement pathways</w:t>
            </w:r>
            <w:r w:rsidR="00680550" w:rsidRPr="63C75F3F">
              <w:rPr>
                <w:rFonts w:ascii="Arial" w:hAnsi="Arial" w:cs="Arial"/>
              </w:rPr>
              <w:t xml:space="preserve"> where required</w:t>
            </w:r>
            <w:r w:rsidR="0033131C" w:rsidRPr="63C75F3F">
              <w:rPr>
                <w:rFonts w:ascii="Arial" w:hAnsi="Arial" w:cs="Arial"/>
              </w:rPr>
              <w:t>.</w:t>
            </w:r>
          </w:p>
        </w:tc>
      </w:tr>
      <w:tr w:rsidR="0033131C" w:rsidRPr="008C5818" w14:paraId="0C9C009B" w14:textId="77777777" w:rsidTr="6BBCD04A">
        <w:trPr>
          <w:trHeight w:val="506"/>
        </w:trPr>
        <w:tc>
          <w:tcPr>
            <w:tcW w:w="809" w:type="dxa"/>
          </w:tcPr>
          <w:p w14:paraId="729EFD5C" w14:textId="6204059C" w:rsidR="0033131C" w:rsidRDefault="0033131C" w:rsidP="002317D1">
            <w:pPr>
              <w:rPr>
                <w:rFonts w:ascii="Arial" w:hAnsi="Arial" w:cs="Arial"/>
                <w:b/>
              </w:rPr>
            </w:pPr>
            <w:r>
              <w:rPr>
                <w:rFonts w:ascii="Arial" w:hAnsi="Arial" w:cs="Arial"/>
                <w:b/>
              </w:rPr>
              <w:t>14</w:t>
            </w:r>
          </w:p>
        </w:tc>
        <w:tc>
          <w:tcPr>
            <w:tcW w:w="8829" w:type="dxa"/>
            <w:gridSpan w:val="2"/>
          </w:tcPr>
          <w:p w14:paraId="586A99D2" w14:textId="301B23C0" w:rsidR="0033131C" w:rsidRPr="008C5818" w:rsidRDefault="0033131C" w:rsidP="002317D1">
            <w:pPr>
              <w:rPr>
                <w:rFonts w:ascii="Arial" w:hAnsi="Arial" w:cs="Arial"/>
              </w:rPr>
            </w:pPr>
            <w:r w:rsidRPr="0033131C">
              <w:rPr>
                <w:rFonts w:ascii="Arial" w:hAnsi="Arial" w:cs="Arial"/>
              </w:rPr>
              <w:t>To have due regard to health and safety in relation to self</w:t>
            </w:r>
            <w:r w:rsidR="00CA1A29" w:rsidRPr="63C75F3F">
              <w:rPr>
                <w:rFonts w:ascii="Arial" w:hAnsi="Arial" w:cs="Arial"/>
              </w:rPr>
              <w:t xml:space="preserve">, </w:t>
            </w:r>
            <w:r w:rsidR="00595F4A" w:rsidRPr="63C75F3F">
              <w:rPr>
                <w:rFonts w:ascii="Arial" w:hAnsi="Arial" w:cs="Arial"/>
              </w:rPr>
              <w:t>colleagues</w:t>
            </w:r>
            <w:r w:rsidRPr="0033131C">
              <w:rPr>
                <w:rFonts w:ascii="Arial" w:hAnsi="Arial" w:cs="Arial"/>
              </w:rPr>
              <w:t xml:space="preserve"> and </w:t>
            </w:r>
            <w:r w:rsidR="00517AB0" w:rsidRPr="63C75F3F">
              <w:rPr>
                <w:rFonts w:ascii="Arial" w:hAnsi="Arial" w:cs="Arial"/>
              </w:rPr>
              <w:t>vulnerable Adults</w:t>
            </w:r>
            <w:r w:rsidRPr="0033131C">
              <w:rPr>
                <w:rFonts w:ascii="Arial" w:hAnsi="Arial" w:cs="Arial"/>
              </w:rPr>
              <w:t>, whilst identifying potential placements.</w:t>
            </w:r>
          </w:p>
        </w:tc>
      </w:tr>
      <w:tr w:rsidR="0033131C" w:rsidRPr="008C5818" w14:paraId="0964BBB7" w14:textId="77777777" w:rsidTr="6BBCD04A">
        <w:trPr>
          <w:trHeight w:val="506"/>
        </w:trPr>
        <w:tc>
          <w:tcPr>
            <w:tcW w:w="809" w:type="dxa"/>
          </w:tcPr>
          <w:p w14:paraId="28AC06BF" w14:textId="2E28F9D6" w:rsidR="0033131C" w:rsidRDefault="0033131C" w:rsidP="002317D1">
            <w:pPr>
              <w:rPr>
                <w:rFonts w:ascii="Arial" w:hAnsi="Arial" w:cs="Arial"/>
                <w:b/>
              </w:rPr>
            </w:pPr>
            <w:r>
              <w:rPr>
                <w:rFonts w:ascii="Arial" w:hAnsi="Arial" w:cs="Arial"/>
                <w:b/>
              </w:rPr>
              <w:t>15</w:t>
            </w:r>
          </w:p>
        </w:tc>
        <w:tc>
          <w:tcPr>
            <w:tcW w:w="8829" w:type="dxa"/>
            <w:gridSpan w:val="2"/>
          </w:tcPr>
          <w:p w14:paraId="3BA40890" w14:textId="3C9F5418" w:rsidR="0033131C" w:rsidRDefault="00D359C8" w:rsidP="002317D1">
            <w:pPr>
              <w:rPr>
                <w:rFonts w:ascii="Arial" w:hAnsi="Arial" w:cs="Arial"/>
              </w:rPr>
            </w:pPr>
            <w:r w:rsidRPr="63C75F3F">
              <w:rPr>
                <w:rFonts w:ascii="Arial" w:hAnsi="Arial" w:cs="Arial"/>
              </w:rPr>
              <w:t>To p</w:t>
            </w:r>
            <w:r w:rsidR="0033131C" w:rsidRPr="63C75F3F">
              <w:rPr>
                <w:rFonts w:ascii="Arial" w:hAnsi="Arial" w:cs="Arial"/>
              </w:rPr>
              <w:t>articipate</w:t>
            </w:r>
            <w:r w:rsidR="0033131C" w:rsidRPr="0033131C">
              <w:rPr>
                <w:rFonts w:ascii="Arial" w:hAnsi="Arial" w:cs="Arial"/>
              </w:rPr>
              <w:t xml:space="preserve"> in Bolton Council systems to support personal development including one to one supervision sessions, insight exchanges, and training.</w:t>
            </w:r>
          </w:p>
          <w:p w14:paraId="6A8B9F22" w14:textId="4C302DC5" w:rsidR="0033131C" w:rsidRPr="008C5818" w:rsidRDefault="0033131C" w:rsidP="002317D1">
            <w:pPr>
              <w:rPr>
                <w:rFonts w:ascii="Arial" w:hAnsi="Arial" w:cs="Arial"/>
              </w:rPr>
            </w:pPr>
          </w:p>
        </w:tc>
      </w:tr>
      <w:tr w:rsidR="00243DBF" w:rsidRPr="0018028D" w14:paraId="2131F19F" w14:textId="77777777" w:rsidTr="6BBCD04A">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57DF100" w:rsidR="00243DBF" w:rsidRPr="0018028D" w:rsidRDefault="00E90DDC" w:rsidP="00243DBF">
            <w:pPr>
              <w:spacing w:after="0"/>
              <w:rPr>
                <w:rFonts w:ascii="Arial" w:hAnsi="Arial" w:cs="Arial"/>
                <w:b/>
              </w:rPr>
            </w:pPr>
            <w:r>
              <w:rPr>
                <w:rFonts w:ascii="Arial" w:hAnsi="Arial" w:cs="Arial"/>
                <w:b/>
              </w:rPr>
              <w:t xml:space="preserve">January </w:t>
            </w:r>
            <w:r w:rsidR="004A3A93" w:rsidRPr="63C75F3F">
              <w:rPr>
                <w:rFonts w:ascii="Arial" w:hAnsi="Arial" w:cs="Arial"/>
                <w:b/>
                <w:bCs/>
              </w:rPr>
              <w:t>202</w:t>
            </w:r>
            <w:r w:rsidRPr="63C75F3F">
              <w:rPr>
                <w:rFonts w:ascii="Arial" w:hAnsi="Arial" w:cs="Arial"/>
                <w:b/>
                <w:bCs/>
              </w:rPr>
              <w:t>6</w:t>
            </w:r>
          </w:p>
        </w:tc>
      </w:tr>
      <w:tr w:rsidR="00243DBF" w:rsidRPr="0018028D" w14:paraId="170D4DF7" w14:textId="77777777" w:rsidTr="6BBCD04A">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40A614B" w:rsidR="00243DBF" w:rsidRPr="0018028D" w:rsidRDefault="0033131C" w:rsidP="00243DBF">
            <w:pPr>
              <w:spacing w:after="0"/>
              <w:rPr>
                <w:rFonts w:ascii="Arial" w:hAnsi="Arial" w:cs="Arial"/>
                <w:b/>
              </w:rPr>
            </w:pPr>
            <w:r>
              <w:rPr>
                <w:rFonts w:ascii="Arial" w:hAnsi="Arial" w:cs="Arial"/>
                <w:b/>
              </w:rPr>
              <w:t>Head of Service</w:t>
            </w:r>
            <w:r w:rsidR="00E90DDC">
              <w:rPr>
                <w:rFonts w:ascii="Arial" w:hAnsi="Arial" w:cs="Arial"/>
                <w:b/>
              </w:rPr>
              <w:t xml:space="preserve"> Strategic Commissioning Live Well</w:t>
            </w:r>
          </w:p>
        </w:tc>
      </w:tr>
    </w:tbl>
    <w:p w14:paraId="101CD195" w14:textId="77777777" w:rsidR="00243DBF" w:rsidRDefault="00243DBF"/>
    <w:p w14:paraId="4EDF9C7E" w14:textId="77777777" w:rsidR="00632E2A" w:rsidRDefault="00632E2A"/>
    <w:p w14:paraId="145B7600" w14:textId="77777777" w:rsidR="00632E2A" w:rsidRDefault="00632E2A"/>
    <w:p w14:paraId="60B11F28" w14:textId="77777777" w:rsidR="00632E2A" w:rsidRDefault="00632E2A"/>
    <w:p w14:paraId="1227E170" w14:textId="77777777" w:rsidR="00632E2A" w:rsidRDefault="00632E2A"/>
    <w:p w14:paraId="68AEBA22" w14:textId="77777777" w:rsidR="00632E2A" w:rsidRDefault="00632E2A"/>
    <w:p w14:paraId="159F3428" w14:textId="77777777" w:rsidR="0033131C" w:rsidRDefault="0033131C"/>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6BBCD04A">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3F53C47" w:rsidR="004C4E03" w:rsidRPr="0066265F" w:rsidRDefault="0033131C" w:rsidP="002317D1">
            <w:pPr>
              <w:spacing w:before="60" w:after="60"/>
              <w:rPr>
                <w:rFonts w:ascii="Arial" w:hAnsi="Arial" w:cs="Arial"/>
                <w:b/>
                <w:caps/>
              </w:rPr>
            </w:pPr>
            <w:r>
              <w:rPr>
                <w:rFonts w:ascii="Arial" w:hAnsi="Arial" w:cs="Arial"/>
                <w:b/>
                <w:caps/>
              </w:rPr>
              <w:t>A</w:t>
            </w:r>
            <w:r w:rsidR="00781494">
              <w:rPr>
                <w:rFonts w:ascii="Arial" w:hAnsi="Arial" w:cs="Arial"/>
                <w:b/>
                <w:caps/>
              </w:rPr>
              <w:t xml:space="preserve">dults, Communities and integration </w:t>
            </w:r>
          </w:p>
        </w:tc>
      </w:tr>
      <w:tr w:rsidR="004C4E03" w:rsidRPr="0066265F" w14:paraId="5C24568F" w14:textId="77777777" w:rsidTr="6BBCD04A">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731C3EE3" w:rsidR="004C4E03" w:rsidRPr="0066265F" w:rsidRDefault="0033131C" w:rsidP="002317D1">
            <w:pPr>
              <w:spacing w:before="60" w:after="60"/>
              <w:rPr>
                <w:rFonts w:ascii="Arial" w:hAnsi="Arial" w:cs="Arial"/>
                <w:b/>
                <w:caps/>
              </w:rPr>
            </w:pPr>
            <w:r>
              <w:rPr>
                <w:rFonts w:ascii="Arial" w:hAnsi="Arial" w:cs="Arial"/>
                <w:b/>
                <w:caps/>
              </w:rPr>
              <w:t xml:space="preserve">brokerage </w:t>
            </w:r>
            <w:r w:rsidR="00FE2BC3">
              <w:rPr>
                <w:rFonts w:ascii="Arial" w:hAnsi="Arial" w:cs="Arial"/>
                <w:b/>
                <w:caps/>
              </w:rPr>
              <w:t xml:space="preserve">&amp; placement </w:t>
            </w:r>
            <w:r>
              <w:rPr>
                <w:rFonts w:ascii="Arial" w:hAnsi="Arial" w:cs="Arial"/>
                <w:b/>
                <w:caps/>
              </w:rPr>
              <w:t>officer</w:t>
            </w:r>
          </w:p>
        </w:tc>
      </w:tr>
      <w:tr w:rsidR="004C4E03" w:rsidRPr="0066265F" w14:paraId="0CF837C8" w14:textId="77777777" w:rsidTr="6BBCD04A">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33131C" w:rsidRPr="0066265F" w14:paraId="7DA6BB8B"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33131C" w:rsidRPr="0066265F" w:rsidRDefault="0033131C" w:rsidP="0033131C">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6B2CDB3D" w:rsidR="0033131C" w:rsidRPr="0066265F" w:rsidRDefault="0033131C" w:rsidP="0033131C">
            <w:pPr>
              <w:spacing w:before="120" w:after="120"/>
              <w:ind w:right="175"/>
              <w:rPr>
                <w:rFonts w:ascii="Arial" w:hAnsi="Arial" w:cs="Arial"/>
              </w:rPr>
            </w:pPr>
            <w:r>
              <w:rPr>
                <w:rFonts w:ascii="Arial" w:hAnsi="Arial" w:cs="Arial"/>
              </w:rPr>
              <w:t>Knowledge</w:t>
            </w:r>
            <w:r w:rsidRPr="00073F2F">
              <w:rPr>
                <w:rFonts w:ascii="Arial" w:hAnsi="Arial" w:cs="Arial"/>
              </w:rPr>
              <w:t xml:space="preserve"> of the statutory processes affecting </w:t>
            </w:r>
            <w:r w:rsidR="00E90DDC">
              <w:rPr>
                <w:rStyle w:val="normaltextrun"/>
                <w:rFonts w:ascii="Arial" w:hAnsi="Arial" w:cs="Arial"/>
              </w:rPr>
              <w:t xml:space="preserve">working age </w:t>
            </w:r>
            <w:r w:rsidR="00E90DDC" w:rsidRPr="63C75F3F">
              <w:rPr>
                <w:rStyle w:val="normaltextrun"/>
                <w:rFonts w:ascii="Arial" w:hAnsi="Arial" w:cs="Arial"/>
              </w:rPr>
              <w:t>adults</w:t>
            </w:r>
            <w:r w:rsidR="00436309" w:rsidRPr="63C75F3F">
              <w:rPr>
                <w:rFonts w:ascii="Arial" w:hAnsi="Arial" w:cs="Arial"/>
              </w:rPr>
              <w:t xml:space="preserve"> and </w:t>
            </w:r>
            <w:r w:rsidR="00300D0C" w:rsidRPr="63C75F3F">
              <w:rPr>
                <w:rFonts w:ascii="Arial" w:hAnsi="Arial" w:cs="Arial"/>
              </w:rPr>
              <w:t>older people within Adult Social</w:t>
            </w:r>
            <w:r w:rsidRPr="00073F2F" w:rsidDel="00E90DDC">
              <w:rPr>
                <w:rFonts w:ascii="Arial" w:hAnsi="Arial" w:cs="Arial"/>
              </w:rPr>
              <w:t xml:space="preserve"> Care</w:t>
            </w:r>
            <w:r w:rsidR="00960A4B" w:rsidRPr="63C75F3F">
              <w:rPr>
                <w:rFonts w:ascii="Arial" w:hAnsi="Arial" w:cs="Arial"/>
              </w:rPr>
              <w:t xml:space="preserve">, including Care Act </w:t>
            </w:r>
            <w:r w:rsidR="549AA3BD" w:rsidRPr="63C75F3F">
              <w:rPr>
                <w:rFonts w:ascii="Arial" w:hAnsi="Arial" w:cs="Arial"/>
              </w:rPr>
              <w:t>responsibilities</w:t>
            </w:r>
            <w:r w:rsidRPr="00073F2F">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27FF0670" w14:textId="3E69A05C" w:rsidR="0033131C" w:rsidRPr="0066265F" w:rsidRDefault="0033131C" w:rsidP="0033131C">
            <w:pPr>
              <w:spacing w:before="120" w:after="120"/>
              <w:rPr>
                <w:rFonts w:ascii="Arial" w:hAnsi="Arial" w:cs="Arial"/>
              </w:rPr>
            </w:pPr>
            <w:r w:rsidRPr="00911B38">
              <w:rPr>
                <w:rFonts w:ascii="Arial" w:hAnsi="Arial" w:cs="Arial"/>
              </w:rPr>
              <w:t>Application Form</w:t>
            </w:r>
          </w:p>
        </w:tc>
      </w:tr>
      <w:tr w:rsidR="0033131C" w:rsidRPr="0066265F" w14:paraId="6C6C2DD6"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33131C" w:rsidRPr="0066265F" w:rsidRDefault="0033131C" w:rsidP="0033131C">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7ED1FA31" w:rsidR="0033131C" w:rsidRPr="0066265F" w:rsidRDefault="0033131C" w:rsidP="0033131C">
            <w:pPr>
              <w:spacing w:before="120" w:after="120"/>
              <w:ind w:right="175"/>
              <w:rPr>
                <w:rFonts w:ascii="Arial" w:hAnsi="Arial" w:cs="Arial"/>
              </w:rPr>
            </w:pPr>
            <w:r>
              <w:rPr>
                <w:rFonts w:ascii="Arial" w:hAnsi="Arial" w:cs="Arial"/>
              </w:rPr>
              <w:t xml:space="preserve">Knowledge </w:t>
            </w:r>
            <w:r w:rsidRPr="00073F2F">
              <w:rPr>
                <w:rFonts w:ascii="Arial" w:hAnsi="Arial" w:cs="Arial"/>
              </w:rPr>
              <w:t xml:space="preserve">of the Local Authority’s statutory responsibilities relating to vulnerable </w:t>
            </w:r>
            <w:r w:rsidR="00E90DDC">
              <w:rPr>
                <w:rStyle w:val="normaltextrun"/>
                <w:rFonts w:ascii="Arial" w:hAnsi="Arial" w:cs="Arial"/>
              </w:rPr>
              <w:t xml:space="preserve">working age </w:t>
            </w:r>
            <w:r w:rsidR="00E90DDC" w:rsidRPr="63C75F3F">
              <w:rPr>
                <w:rStyle w:val="normaltextrun"/>
                <w:rFonts w:ascii="Arial" w:hAnsi="Arial" w:cs="Arial"/>
              </w:rPr>
              <w:t>adult</w:t>
            </w:r>
            <w:r w:rsidR="00E90DDC" w:rsidRPr="63C75F3F">
              <w:rPr>
                <w:rFonts w:ascii="Arial" w:hAnsi="Arial" w:cs="Arial"/>
              </w:rPr>
              <w:t>s</w:t>
            </w:r>
            <w:r w:rsidRPr="00073F2F">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352BCD35" w14:textId="129ABA5C" w:rsidR="0033131C" w:rsidRPr="0066265F" w:rsidRDefault="00B82AA3" w:rsidP="0033131C">
            <w:pPr>
              <w:spacing w:before="120" w:after="120"/>
              <w:rPr>
                <w:rFonts w:ascii="Arial" w:hAnsi="Arial" w:cs="Arial"/>
              </w:rPr>
            </w:pPr>
            <w:r w:rsidRPr="00911B38">
              <w:rPr>
                <w:rFonts w:ascii="Arial" w:hAnsi="Arial" w:cs="Arial"/>
              </w:rPr>
              <w:t>Application Form</w:t>
            </w:r>
          </w:p>
        </w:tc>
      </w:tr>
      <w:tr w:rsidR="0033131C" w:rsidRPr="0066265F" w14:paraId="40CA1B97"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33131C" w:rsidRPr="0066265F" w:rsidRDefault="0033131C" w:rsidP="0033131C">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09609BF1" w:rsidR="0033131C" w:rsidRPr="0066265F" w:rsidRDefault="0033131C" w:rsidP="0033131C">
            <w:pPr>
              <w:spacing w:before="120" w:after="120"/>
              <w:ind w:right="175"/>
              <w:rPr>
                <w:rFonts w:ascii="Arial" w:hAnsi="Arial" w:cs="Arial"/>
              </w:rPr>
            </w:pPr>
            <w:r w:rsidRPr="6BBCD04A">
              <w:rPr>
                <w:rFonts w:ascii="Arial" w:hAnsi="Arial" w:cs="Arial"/>
              </w:rPr>
              <w:t xml:space="preserve">Knowledge of the </w:t>
            </w:r>
            <w:r w:rsidR="394E83C1" w:rsidRPr="6BBCD04A">
              <w:rPr>
                <w:rFonts w:ascii="Arial" w:hAnsi="Arial" w:cs="Arial"/>
              </w:rPr>
              <w:t xml:space="preserve">differing placement types and the </w:t>
            </w:r>
            <w:r w:rsidRPr="6BBCD04A">
              <w:rPr>
                <w:rFonts w:ascii="Arial" w:hAnsi="Arial" w:cs="Arial"/>
              </w:rPr>
              <w:t xml:space="preserve">national performance indicators relating to the outcomes for </w:t>
            </w:r>
            <w:r w:rsidR="00E90DDC" w:rsidRPr="6BBCD04A">
              <w:rPr>
                <w:rStyle w:val="normaltextrun"/>
                <w:rFonts w:ascii="Arial" w:hAnsi="Arial" w:cs="Arial"/>
              </w:rPr>
              <w:t>working age adult</w:t>
            </w:r>
            <w:r w:rsidR="00E90DDC" w:rsidRPr="6BBCD04A">
              <w:rPr>
                <w:rFonts w:ascii="Arial" w:hAnsi="Arial" w:cs="Arial"/>
              </w:rPr>
              <w:t>s</w:t>
            </w:r>
            <w:r w:rsidR="6B7C70A4" w:rsidRPr="6BBCD04A">
              <w:rPr>
                <w:rFonts w:ascii="Arial" w:hAnsi="Arial" w:cs="Arial"/>
              </w:rPr>
              <w:t xml:space="preserve"> and older people</w:t>
            </w:r>
            <w:r w:rsidR="249C7A5D" w:rsidRPr="6BBCD04A">
              <w:rPr>
                <w:rFonts w:ascii="Arial" w:hAnsi="Arial" w:cs="Arial"/>
              </w:rPr>
              <w:t xml:space="preserve">, including </w:t>
            </w:r>
            <w:r w:rsidR="57B22F75" w:rsidRPr="6BBCD04A">
              <w:rPr>
                <w:rFonts w:ascii="Arial" w:hAnsi="Arial" w:cs="Arial"/>
              </w:rPr>
              <w:t>Supported Living, Residential Care, Nursing Care and Mental Health Accommodation</w:t>
            </w:r>
            <w:r w:rsidRPr="6BBCD04A">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75BF23B7" w14:textId="28115C73" w:rsidR="0033131C" w:rsidRPr="0066265F" w:rsidRDefault="5F11F42B" w:rsidP="0033131C">
            <w:pPr>
              <w:spacing w:before="120" w:after="120"/>
              <w:rPr>
                <w:rFonts w:ascii="Arial" w:hAnsi="Arial" w:cs="Arial"/>
              </w:rPr>
            </w:pPr>
            <w:r w:rsidRPr="6BBCD04A">
              <w:rPr>
                <w:rFonts w:ascii="Arial" w:hAnsi="Arial" w:cs="Arial"/>
              </w:rPr>
              <w:t>Application/</w:t>
            </w:r>
            <w:r w:rsidR="4ACB4FFE" w:rsidRPr="6BBCD04A">
              <w:rPr>
                <w:rFonts w:ascii="Arial" w:hAnsi="Arial" w:cs="Arial"/>
              </w:rPr>
              <w:t>Interview</w:t>
            </w:r>
          </w:p>
        </w:tc>
      </w:tr>
      <w:tr w:rsidR="0033131C" w:rsidRPr="0066265F" w14:paraId="46884DFF"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33131C" w:rsidRPr="0066265F" w:rsidRDefault="0033131C" w:rsidP="0033131C">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497428D4" w:rsidR="0033131C" w:rsidRPr="0066265F" w:rsidRDefault="0033131C" w:rsidP="0033131C">
            <w:pPr>
              <w:spacing w:before="120" w:after="120"/>
              <w:ind w:right="175"/>
              <w:rPr>
                <w:rFonts w:ascii="Arial" w:hAnsi="Arial" w:cs="Arial"/>
              </w:rPr>
            </w:pPr>
            <w:r w:rsidRPr="00073F2F">
              <w:rPr>
                <w:rFonts w:ascii="Arial" w:hAnsi="Arial" w:cs="Arial"/>
              </w:rPr>
              <w:t xml:space="preserve">Knowledge to work with the required national standards and </w:t>
            </w:r>
            <w:r w:rsidR="00E90DDC" w:rsidRPr="63C75F3F">
              <w:rPr>
                <w:rFonts w:ascii="Arial" w:hAnsi="Arial" w:cs="Arial"/>
              </w:rPr>
              <w:t>CQC</w:t>
            </w:r>
            <w:r w:rsidRPr="00073F2F">
              <w:rPr>
                <w:rFonts w:ascii="Arial" w:hAnsi="Arial" w:cs="Arial"/>
              </w:rPr>
              <w:t xml:space="preserve"> requirements for </w:t>
            </w:r>
            <w:r w:rsidR="00E90DDC">
              <w:rPr>
                <w:rStyle w:val="normaltextrun"/>
                <w:rFonts w:ascii="Arial" w:hAnsi="Arial" w:cs="Arial"/>
              </w:rPr>
              <w:t xml:space="preserve">working age </w:t>
            </w:r>
            <w:r w:rsidR="00E90DDC" w:rsidRPr="63C75F3F">
              <w:rPr>
                <w:rStyle w:val="normaltextrun"/>
                <w:rFonts w:ascii="Arial" w:hAnsi="Arial" w:cs="Arial"/>
              </w:rPr>
              <w:t>adult</w:t>
            </w:r>
            <w:r w:rsidR="00E90DDC" w:rsidRPr="63C75F3F">
              <w:rPr>
                <w:rFonts w:ascii="Arial" w:hAnsi="Arial" w:cs="Arial"/>
              </w:rPr>
              <w:t>s</w:t>
            </w:r>
            <w:r w:rsidRPr="00073F2F">
              <w:rPr>
                <w:rFonts w:ascii="Arial" w:hAnsi="Arial" w:cs="Arial"/>
              </w:rPr>
              <w:t>.</w:t>
            </w:r>
          </w:p>
        </w:tc>
        <w:tc>
          <w:tcPr>
            <w:tcW w:w="3578" w:type="dxa"/>
            <w:tcBorders>
              <w:top w:val="nil"/>
              <w:left w:val="single" w:sz="4" w:space="0" w:color="auto"/>
              <w:bottom w:val="single" w:sz="4" w:space="0" w:color="auto"/>
              <w:right w:val="single" w:sz="4" w:space="0" w:color="auto"/>
            </w:tcBorders>
          </w:tcPr>
          <w:p w14:paraId="2D523A03" w14:textId="5F403C68" w:rsidR="0033131C" w:rsidRPr="0066265F" w:rsidRDefault="00B82AA3" w:rsidP="0033131C">
            <w:pPr>
              <w:spacing w:before="120" w:after="120"/>
              <w:rPr>
                <w:rFonts w:ascii="Arial" w:hAnsi="Arial" w:cs="Arial"/>
              </w:rPr>
            </w:pPr>
            <w:r>
              <w:rPr>
                <w:rFonts w:ascii="Arial" w:hAnsi="Arial" w:cs="Arial"/>
              </w:rPr>
              <w:t>Interview</w:t>
            </w:r>
          </w:p>
        </w:tc>
      </w:tr>
      <w:tr w:rsidR="0033131C" w:rsidRPr="0066265F" w14:paraId="5EA04F7B"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33131C" w:rsidRPr="0066265F" w:rsidRDefault="0033131C" w:rsidP="0033131C">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5FE58381" w:rsidR="0033131C" w:rsidRPr="0066265F" w:rsidRDefault="0033131C" w:rsidP="0033131C">
            <w:pPr>
              <w:spacing w:before="120" w:after="120"/>
              <w:ind w:right="175"/>
              <w:rPr>
                <w:rFonts w:ascii="Arial" w:hAnsi="Arial" w:cs="Arial"/>
              </w:rPr>
            </w:pPr>
            <w:r>
              <w:rPr>
                <w:rFonts w:ascii="Arial" w:hAnsi="Arial" w:cs="Arial"/>
              </w:rPr>
              <w:t>An ability t</w:t>
            </w:r>
            <w:r w:rsidRPr="00073F2F">
              <w:rPr>
                <w:rFonts w:ascii="Arial" w:hAnsi="Arial" w:cs="Arial"/>
              </w:rPr>
              <w:t xml:space="preserve">o respond positively and professionally to referrals </w:t>
            </w:r>
            <w:r>
              <w:rPr>
                <w:rFonts w:ascii="Arial" w:hAnsi="Arial" w:cs="Arial"/>
              </w:rPr>
              <w:t>either verbally,</w:t>
            </w:r>
            <w:r w:rsidRPr="00073F2F">
              <w:rPr>
                <w:rFonts w:ascii="Arial" w:hAnsi="Arial" w:cs="Arial"/>
              </w:rPr>
              <w:t xml:space="preserve"> over the phone, electronically and in writing to internal colleagues and external placement providers.</w:t>
            </w:r>
          </w:p>
        </w:tc>
        <w:tc>
          <w:tcPr>
            <w:tcW w:w="3578" w:type="dxa"/>
            <w:tcBorders>
              <w:top w:val="nil"/>
              <w:left w:val="single" w:sz="4" w:space="0" w:color="auto"/>
              <w:bottom w:val="single" w:sz="4" w:space="0" w:color="auto"/>
              <w:right w:val="single" w:sz="4" w:space="0" w:color="auto"/>
            </w:tcBorders>
          </w:tcPr>
          <w:p w14:paraId="3DCC3880" w14:textId="58250B59" w:rsidR="0033131C" w:rsidRPr="0066265F" w:rsidRDefault="00B82AA3" w:rsidP="0033131C">
            <w:pPr>
              <w:spacing w:before="120" w:after="120"/>
              <w:rPr>
                <w:rFonts w:ascii="Arial" w:hAnsi="Arial" w:cs="Arial"/>
              </w:rPr>
            </w:pPr>
            <w:r w:rsidRPr="00911B38">
              <w:rPr>
                <w:rFonts w:ascii="Arial" w:hAnsi="Arial" w:cs="Arial"/>
              </w:rPr>
              <w:t>Application Form</w:t>
            </w:r>
          </w:p>
        </w:tc>
      </w:tr>
      <w:tr w:rsidR="0033131C" w:rsidRPr="0066265F" w14:paraId="7308ACB3"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33131C" w:rsidRPr="0066265F" w:rsidRDefault="0033131C" w:rsidP="0033131C">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D2AAA95" w:rsidR="0033131C" w:rsidRPr="0066265F" w:rsidRDefault="0033131C" w:rsidP="0033131C">
            <w:pPr>
              <w:spacing w:before="120" w:after="120"/>
              <w:ind w:right="175"/>
              <w:rPr>
                <w:rFonts w:ascii="Arial" w:hAnsi="Arial" w:cs="Arial"/>
              </w:rPr>
            </w:pPr>
            <w:r w:rsidRPr="00073F2F">
              <w:rPr>
                <w:rFonts w:ascii="Arial" w:hAnsi="Arial" w:cs="Arial"/>
              </w:rPr>
              <w:t>Ability to apply due diligence processes and liaise with quality assurance systems to monitor performance against agreed standards.</w:t>
            </w:r>
          </w:p>
        </w:tc>
        <w:tc>
          <w:tcPr>
            <w:tcW w:w="3578" w:type="dxa"/>
            <w:tcBorders>
              <w:top w:val="nil"/>
              <w:left w:val="single" w:sz="4" w:space="0" w:color="auto"/>
              <w:bottom w:val="single" w:sz="4" w:space="0" w:color="auto"/>
              <w:right w:val="single" w:sz="4" w:space="0" w:color="auto"/>
            </w:tcBorders>
          </w:tcPr>
          <w:p w14:paraId="103597AE" w14:textId="67BFC04E" w:rsidR="0033131C" w:rsidRPr="0066265F" w:rsidRDefault="00C03DF8" w:rsidP="0033131C">
            <w:pPr>
              <w:spacing w:before="120" w:after="120"/>
              <w:rPr>
                <w:rFonts w:ascii="Arial" w:hAnsi="Arial" w:cs="Arial"/>
              </w:rPr>
            </w:pPr>
            <w:r>
              <w:rPr>
                <w:rFonts w:ascii="Arial" w:hAnsi="Arial" w:cs="Arial"/>
              </w:rPr>
              <w:t>Application Form</w:t>
            </w:r>
          </w:p>
        </w:tc>
      </w:tr>
      <w:tr w:rsidR="0033131C" w:rsidRPr="0066265F" w14:paraId="4E103485"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33131C" w:rsidRPr="0066265F" w:rsidRDefault="0033131C" w:rsidP="0033131C">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68E1AE55" w:rsidR="0033131C" w:rsidRPr="0066265F" w:rsidRDefault="0033131C" w:rsidP="0033131C">
            <w:pPr>
              <w:spacing w:before="120" w:after="120"/>
              <w:ind w:right="175"/>
              <w:rPr>
                <w:rFonts w:ascii="Arial" w:hAnsi="Arial" w:cs="Arial"/>
              </w:rPr>
            </w:pPr>
            <w:r w:rsidRPr="00073F2F">
              <w:rPr>
                <w:rFonts w:ascii="Arial" w:hAnsi="Arial" w:cs="Arial"/>
              </w:rPr>
              <w:t>Ability to prioritise own workload and ability to work to a tight deadline.</w:t>
            </w:r>
          </w:p>
        </w:tc>
        <w:tc>
          <w:tcPr>
            <w:tcW w:w="3578" w:type="dxa"/>
            <w:tcBorders>
              <w:top w:val="nil"/>
              <w:left w:val="single" w:sz="4" w:space="0" w:color="auto"/>
              <w:bottom w:val="single" w:sz="4" w:space="0" w:color="auto"/>
              <w:right w:val="single" w:sz="4" w:space="0" w:color="auto"/>
            </w:tcBorders>
          </w:tcPr>
          <w:p w14:paraId="3C8ED1B7" w14:textId="18F54FCD" w:rsidR="0033131C" w:rsidRPr="0066265F" w:rsidRDefault="004A3A93" w:rsidP="0033131C">
            <w:pPr>
              <w:spacing w:before="120" w:after="120"/>
              <w:rPr>
                <w:rFonts w:ascii="Arial" w:hAnsi="Arial" w:cs="Arial"/>
              </w:rPr>
            </w:pPr>
            <w:r>
              <w:rPr>
                <w:rFonts w:ascii="Arial" w:hAnsi="Arial" w:cs="Arial"/>
              </w:rPr>
              <w:t>Interview</w:t>
            </w:r>
          </w:p>
        </w:tc>
      </w:tr>
      <w:tr w:rsidR="0033131C" w:rsidRPr="0066265F" w14:paraId="14509237"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53AC815" w14:textId="4B9AE2BB" w:rsidR="0033131C" w:rsidRPr="0066265F" w:rsidRDefault="0033131C" w:rsidP="0033131C">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6B1ACAFB" w14:textId="6AF30B40" w:rsidR="0033131C" w:rsidRPr="0066265F" w:rsidRDefault="0033131C" w:rsidP="0033131C">
            <w:pPr>
              <w:spacing w:before="120" w:after="120"/>
              <w:ind w:right="175"/>
              <w:rPr>
                <w:rFonts w:ascii="Arial" w:hAnsi="Arial" w:cs="Arial"/>
              </w:rPr>
            </w:pPr>
            <w:r w:rsidRPr="00073F2F">
              <w:rPr>
                <w:rFonts w:ascii="Arial" w:hAnsi="Arial" w:cs="Arial"/>
              </w:rPr>
              <w:t>Ability to work positively and proactively as part of a team.</w:t>
            </w:r>
          </w:p>
        </w:tc>
        <w:tc>
          <w:tcPr>
            <w:tcW w:w="3578" w:type="dxa"/>
            <w:tcBorders>
              <w:top w:val="nil"/>
              <w:left w:val="single" w:sz="4" w:space="0" w:color="auto"/>
              <w:bottom w:val="single" w:sz="4" w:space="0" w:color="auto"/>
              <w:right w:val="single" w:sz="4" w:space="0" w:color="auto"/>
            </w:tcBorders>
          </w:tcPr>
          <w:p w14:paraId="7DE9FB09" w14:textId="1CE03FD9" w:rsidR="0033131C" w:rsidRPr="0066265F" w:rsidRDefault="00B82AA3" w:rsidP="0033131C">
            <w:pPr>
              <w:spacing w:before="120" w:after="120"/>
              <w:rPr>
                <w:rFonts w:ascii="Arial" w:hAnsi="Arial" w:cs="Arial"/>
              </w:rPr>
            </w:pPr>
            <w:r w:rsidRPr="00911B38">
              <w:rPr>
                <w:rFonts w:ascii="Arial" w:hAnsi="Arial" w:cs="Arial"/>
              </w:rPr>
              <w:t>Interview</w:t>
            </w:r>
          </w:p>
        </w:tc>
      </w:tr>
      <w:tr w:rsidR="0033131C" w:rsidRPr="0066265F" w14:paraId="44E79341"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0A64ABF" w14:textId="3B93B9CD" w:rsidR="0033131C" w:rsidRPr="0066265F" w:rsidRDefault="0033131C" w:rsidP="0033131C">
            <w:pPr>
              <w:spacing w:before="120" w:after="120"/>
              <w:rPr>
                <w:rFonts w:ascii="Arial" w:hAnsi="Arial" w:cs="Arial"/>
              </w:rPr>
            </w:pPr>
            <w:r>
              <w:rPr>
                <w:rFonts w:ascii="Arial" w:hAnsi="Arial" w:cs="Arial"/>
              </w:rPr>
              <w:lastRenderedPageBreak/>
              <w:t>9.</w:t>
            </w:r>
          </w:p>
        </w:tc>
        <w:tc>
          <w:tcPr>
            <w:tcW w:w="5812" w:type="dxa"/>
            <w:gridSpan w:val="5"/>
            <w:tcBorders>
              <w:top w:val="nil"/>
              <w:left w:val="nil"/>
              <w:bottom w:val="single" w:sz="4" w:space="0" w:color="auto"/>
              <w:right w:val="single" w:sz="4" w:space="0" w:color="auto"/>
            </w:tcBorders>
          </w:tcPr>
          <w:p w14:paraId="768E5F7E" w14:textId="26CDDD20" w:rsidR="0033131C" w:rsidRPr="0066265F" w:rsidRDefault="0033131C" w:rsidP="0033131C">
            <w:pPr>
              <w:spacing w:before="120" w:after="120"/>
              <w:ind w:right="175"/>
              <w:rPr>
                <w:rFonts w:ascii="Arial" w:hAnsi="Arial" w:cs="Arial"/>
              </w:rPr>
            </w:pPr>
            <w:r w:rsidRPr="6BBCD04A">
              <w:rPr>
                <w:rFonts w:ascii="Arial" w:hAnsi="Arial" w:cs="Arial"/>
              </w:rPr>
              <w:t xml:space="preserve">Have an ability to use, develop, and manage a range of ICT systems, including </w:t>
            </w:r>
            <w:r w:rsidR="1676440D" w:rsidRPr="6BBCD04A">
              <w:rPr>
                <w:rFonts w:ascii="Arial" w:hAnsi="Arial" w:cs="Arial"/>
              </w:rPr>
              <w:t>Liquid Logic, Controcc,</w:t>
            </w:r>
            <w:r w:rsidR="7E05374F" w:rsidRPr="6BBCD04A">
              <w:rPr>
                <w:rFonts w:ascii="Arial" w:hAnsi="Arial" w:cs="Arial"/>
              </w:rPr>
              <w:t xml:space="preserve"> </w:t>
            </w:r>
            <w:r w:rsidR="00E90DDC" w:rsidRPr="6BBCD04A">
              <w:rPr>
                <w:rFonts w:ascii="Arial" w:hAnsi="Arial" w:cs="Arial"/>
              </w:rPr>
              <w:t xml:space="preserve">CareCubed, </w:t>
            </w:r>
            <w:r w:rsidRPr="6BBCD04A">
              <w:rPr>
                <w:rFonts w:ascii="Arial" w:hAnsi="Arial" w:cs="Arial"/>
              </w:rPr>
              <w:t xml:space="preserve">spreadsheets, and </w:t>
            </w:r>
            <w:r w:rsidR="40B41CE9" w:rsidRPr="6BBCD04A">
              <w:rPr>
                <w:rFonts w:ascii="Arial" w:hAnsi="Arial" w:cs="Arial"/>
              </w:rPr>
              <w:t xml:space="preserve">data tracking tools to support placement activity </w:t>
            </w:r>
            <w:r w:rsidR="1EEB794C" w:rsidRPr="6BBCD04A">
              <w:rPr>
                <w:rFonts w:ascii="Arial" w:hAnsi="Arial" w:cs="Arial"/>
              </w:rPr>
              <w:t>and reporting</w:t>
            </w:r>
            <w:r w:rsidRPr="6BBCD04A">
              <w:rPr>
                <w:rFonts w:ascii="Arial" w:hAnsi="Arial" w:cs="Arial"/>
              </w:rPr>
              <w:t>.</w:t>
            </w:r>
          </w:p>
        </w:tc>
        <w:tc>
          <w:tcPr>
            <w:tcW w:w="3578" w:type="dxa"/>
            <w:tcBorders>
              <w:top w:val="nil"/>
              <w:left w:val="single" w:sz="4" w:space="0" w:color="auto"/>
              <w:bottom w:val="single" w:sz="4" w:space="0" w:color="auto"/>
              <w:right w:val="single" w:sz="4" w:space="0" w:color="auto"/>
            </w:tcBorders>
          </w:tcPr>
          <w:p w14:paraId="4EF26A5F" w14:textId="18E6DE60" w:rsidR="0033131C" w:rsidRPr="0066265F" w:rsidRDefault="4F950081" w:rsidP="0033131C">
            <w:pPr>
              <w:spacing w:before="120" w:after="120"/>
              <w:rPr>
                <w:rFonts w:ascii="Arial" w:hAnsi="Arial" w:cs="Arial"/>
              </w:rPr>
            </w:pPr>
            <w:r w:rsidRPr="6BBCD04A">
              <w:rPr>
                <w:rFonts w:ascii="Arial" w:hAnsi="Arial" w:cs="Arial"/>
              </w:rPr>
              <w:t>Application/</w:t>
            </w:r>
            <w:r w:rsidR="4BC201A8" w:rsidRPr="6BBCD04A">
              <w:rPr>
                <w:rFonts w:ascii="Arial" w:hAnsi="Arial" w:cs="Arial"/>
              </w:rPr>
              <w:t>Interview</w:t>
            </w:r>
          </w:p>
        </w:tc>
      </w:tr>
      <w:tr w:rsidR="0033131C" w:rsidRPr="0066265F" w14:paraId="220F9BAD"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52964CD" w14:textId="20A5ECF1" w:rsidR="0033131C" w:rsidRPr="0066265F" w:rsidRDefault="0033131C" w:rsidP="0033131C">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400CC98A" w14:textId="617CF3AF" w:rsidR="0033131C" w:rsidRPr="0066265F" w:rsidRDefault="0033131C" w:rsidP="0033131C">
            <w:pPr>
              <w:spacing w:before="120" w:after="120"/>
              <w:ind w:right="175"/>
              <w:rPr>
                <w:rFonts w:ascii="Arial" w:hAnsi="Arial" w:cs="Arial"/>
              </w:rPr>
            </w:pPr>
            <w:r w:rsidRPr="00073F2F">
              <w:rPr>
                <w:rFonts w:ascii="Arial" w:hAnsi="Arial" w:cs="Arial"/>
              </w:rPr>
              <w:t>Ability to ensure accuracy of and report from ICT systems and spreadsheets.</w:t>
            </w:r>
          </w:p>
        </w:tc>
        <w:tc>
          <w:tcPr>
            <w:tcW w:w="3578" w:type="dxa"/>
            <w:tcBorders>
              <w:top w:val="nil"/>
              <w:left w:val="single" w:sz="4" w:space="0" w:color="auto"/>
              <w:bottom w:val="single" w:sz="4" w:space="0" w:color="auto"/>
              <w:right w:val="single" w:sz="4" w:space="0" w:color="auto"/>
            </w:tcBorders>
          </w:tcPr>
          <w:p w14:paraId="459C8E65" w14:textId="5C14D480" w:rsidR="0033131C" w:rsidRPr="0066265F" w:rsidRDefault="00B82AA3" w:rsidP="0033131C">
            <w:pPr>
              <w:spacing w:before="120" w:after="120"/>
              <w:rPr>
                <w:rFonts w:ascii="Arial" w:hAnsi="Arial" w:cs="Arial"/>
              </w:rPr>
            </w:pPr>
            <w:r w:rsidRPr="00911B38">
              <w:rPr>
                <w:rFonts w:ascii="Arial" w:hAnsi="Arial" w:cs="Arial"/>
              </w:rPr>
              <w:t>Interview</w:t>
            </w:r>
          </w:p>
        </w:tc>
      </w:tr>
      <w:tr w:rsidR="0033131C" w:rsidRPr="0066265F" w14:paraId="5D30AAEB"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8C33BCA" w14:textId="69209236" w:rsidR="0033131C" w:rsidRPr="0066265F" w:rsidRDefault="0033131C" w:rsidP="0033131C">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14D9830F" w14:textId="7BA6083E" w:rsidR="0033131C" w:rsidRPr="0066265F" w:rsidRDefault="0033131C" w:rsidP="0033131C">
            <w:pPr>
              <w:spacing w:before="120" w:after="120"/>
              <w:ind w:right="175"/>
              <w:rPr>
                <w:rFonts w:ascii="Arial" w:hAnsi="Arial" w:cs="Arial"/>
              </w:rPr>
            </w:pPr>
            <w:r w:rsidRPr="798E034F">
              <w:rPr>
                <w:rFonts w:ascii="Arial" w:hAnsi="Arial" w:cs="Arial"/>
              </w:rPr>
              <w:t xml:space="preserve">Ability to accurately </w:t>
            </w:r>
            <w:r w:rsidR="00B2586F" w:rsidRPr="798E034F">
              <w:rPr>
                <w:rFonts w:ascii="Arial" w:hAnsi="Arial" w:cs="Arial"/>
              </w:rPr>
              <w:t xml:space="preserve">verify placements costs and </w:t>
            </w:r>
            <w:r w:rsidR="00F44007" w:rsidRPr="798E034F">
              <w:rPr>
                <w:rFonts w:ascii="Arial" w:hAnsi="Arial" w:cs="Arial"/>
              </w:rPr>
              <w:t>provider</w:t>
            </w:r>
            <w:r w:rsidRPr="798E034F">
              <w:rPr>
                <w:rFonts w:ascii="Arial" w:hAnsi="Arial" w:cs="Arial"/>
              </w:rPr>
              <w:t xml:space="preserve"> invoices</w:t>
            </w:r>
          </w:p>
        </w:tc>
        <w:tc>
          <w:tcPr>
            <w:tcW w:w="3578" w:type="dxa"/>
            <w:tcBorders>
              <w:top w:val="nil"/>
              <w:left w:val="single" w:sz="4" w:space="0" w:color="auto"/>
              <w:bottom w:val="single" w:sz="4" w:space="0" w:color="auto"/>
              <w:right w:val="single" w:sz="4" w:space="0" w:color="auto"/>
            </w:tcBorders>
          </w:tcPr>
          <w:p w14:paraId="7785A5A5" w14:textId="60198700" w:rsidR="0033131C" w:rsidRPr="0066265F" w:rsidRDefault="00B82AA3" w:rsidP="0033131C">
            <w:pPr>
              <w:spacing w:before="120" w:after="120"/>
              <w:rPr>
                <w:rFonts w:ascii="Arial" w:hAnsi="Arial" w:cs="Arial"/>
              </w:rPr>
            </w:pPr>
            <w:r w:rsidRPr="00911B38">
              <w:rPr>
                <w:rFonts w:ascii="Arial" w:hAnsi="Arial" w:cs="Arial"/>
              </w:rPr>
              <w:t>Interview</w:t>
            </w:r>
          </w:p>
        </w:tc>
      </w:tr>
      <w:tr w:rsidR="0033131C" w:rsidRPr="0066265F" w14:paraId="7019E219"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4696E41C" w:rsidR="0033131C" w:rsidRPr="0066265F" w:rsidRDefault="0033131C" w:rsidP="0033131C">
            <w:pPr>
              <w:spacing w:before="120" w:after="120"/>
              <w:rPr>
                <w:rFonts w:ascii="Arial" w:hAnsi="Arial" w:cs="Arial"/>
              </w:rPr>
            </w:pPr>
            <w:r>
              <w:rPr>
                <w:rFonts w:ascii="Arial" w:hAnsi="Arial" w:cs="Arial"/>
              </w:rPr>
              <w:t>12.</w:t>
            </w:r>
          </w:p>
        </w:tc>
        <w:tc>
          <w:tcPr>
            <w:tcW w:w="5812" w:type="dxa"/>
            <w:gridSpan w:val="5"/>
            <w:tcBorders>
              <w:top w:val="nil"/>
              <w:left w:val="nil"/>
              <w:bottom w:val="nil"/>
              <w:right w:val="single" w:sz="4" w:space="0" w:color="auto"/>
            </w:tcBorders>
          </w:tcPr>
          <w:p w14:paraId="4BE4BDB8" w14:textId="10DA156F" w:rsidR="0033131C" w:rsidRPr="0066265F" w:rsidRDefault="0033131C" w:rsidP="0033131C">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33131C" w:rsidRPr="0066265F" w:rsidRDefault="0033131C" w:rsidP="0033131C">
            <w:pPr>
              <w:spacing w:before="120" w:after="120"/>
              <w:rPr>
                <w:rFonts w:ascii="Arial" w:hAnsi="Arial" w:cs="Arial"/>
              </w:rPr>
            </w:pPr>
            <w:r w:rsidRPr="0066265F">
              <w:rPr>
                <w:rFonts w:ascii="Arial" w:hAnsi="Arial" w:cs="Arial"/>
              </w:rPr>
              <w:t>Interview</w:t>
            </w:r>
          </w:p>
        </w:tc>
      </w:tr>
      <w:tr w:rsidR="0033131C" w:rsidRPr="0066265F" w14:paraId="17D10791"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33131C" w:rsidRPr="0066265F" w:rsidRDefault="0033131C" w:rsidP="0033131C">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82AA3" w:rsidRPr="0066265F" w14:paraId="3F4BD0A6"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82AA3" w:rsidRPr="0066265F" w:rsidRDefault="00B82AA3" w:rsidP="00B82AA3">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45A6806C" w:rsidR="00B82AA3" w:rsidRPr="0066265F" w:rsidRDefault="4BC201A8" w:rsidP="00B82AA3">
            <w:pPr>
              <w:spacing w:before="120" w:after="120"/>
              <w:rPr>
                <w:rFonts w:ascii="Arial" w:hAnsi="Arial" w:cs="Arial"/>
              </w:rPr>
            </w:pPr>
            <w:r w:rsidRPr="6BBCD04A">
              <w:rPr>
                <w:rFonts w:ascii="Arial" w:hAnsi="Arial" w:cs="Arial"/>
              </w:rPr>
              <w:t>A relevant professional or academic qualification to NVQ4 or Willingness to work towards qualification if have the equivalent proven levels of experience relevant to the requirements of the post or similar roles.</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EA81346" w:rsidR="00B82AA3" w:rsidRPr="0066265F" w:rsidRDefault="00B82AA3" w:rsidP="00B82AA3">
            <w:pPr>
              <w:spacing w:before="120" w:after="120"/>
              <w:rPr>
                <w:rFonts w:ascii="Arial" w:hAnsi="Arial" w:cs="Arial"/>
              </w:rPr>
            </w:pPr>
            <w:r w:rsidRPr="00E331E2">
              <w:rPr>
                <w:rFonts w:ascii="Arial" w:hAnsi="Arial" w:cs="Arial"/>
              </w:rPr>
              <w:t>Application Form</w:t>
            </w:r>
          </w:p>
        </w:tc>
      </w:tr>
      <w:tr w:rsidR="00B82AA3" w:rsidRPr="0066265F" w14:paraId="3C077FB0"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B82AA3" w:rsidRPr="0066265F" w:rsidRDefault="00B82AA3" w:rsidP="00B82AA3">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33401F1E" w:rsidR="00B82AA3" w:rsidRPr="0066265F" w:rsidRDefault="00B82AA3" w:rsidP="00B82AA3">
            <w:pPr>
              <w:spacing w:before="120" w:after="120"/>
              <w:rPr>
                <w:rFonts w:ascii="Arial" w:hAnsi="Arial" w:cs="Arial"/>
              </w:rPr>
            </w:pPr>
            <w:r w:rsidRPr="00073F2F">
              <w:rPr>
                <w:rFonts w:ascii="Arial" w:hAnsi="Arial" w:cs="Arial"/>
              </w:rPr>
              <w:t>Experience of developing positive working relationships with internal and external placements providers and other professional colleagues</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7941C356" w:rsidR="00B82AA3" w:rsidRPr="0066265F" w:rsidRDefault="00B82AA3" w:rsidP="00B82AA3">
            <w:pPr>
              <w:spacing w:before="120" w:after="120"/>
              <w:rPr>
                <w:rFonts w:ascii="Arial" w:hAnsi="Arial" w:cs="Arial"/>
              </w:rPr>
            </w:pPr>
            <w:r w:rsidRPr="00E331E2">
              <w:rPr>
                <w:rFonts w:ascii="Arial" w:hAnsi="Arial" w:cs="Arial"/>
              </w:rPr>
              <w:t>Application Form</w:t>
            </w:r>
          </w:p>
        </w:tc>
      </w:tr>
      <w:tr w:rsidR="00B82AA3" w:rsidRPr="0066265F" w14:paraId="4BED6549"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CA161BB" w14:textId="3881F525" w:rsidR="00B82AA3" w:rsidRPr="0066265F" w:rsidRDefault="00B82AA3" w:rsidP="00B82AA3">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62F410B" w14:textId="0560D337" w:rsidR="00B82AA3" w:rsidRPr="0066265F" w:rsidRDefault="00B82AA3" w:rsidP="00B82AA3">
            <w:pPr>
              <w:spacing w:before="120" w:after="120"/>
              <w:rPr>
                <w:rFonts w:ascii="Arial" w:hAnsi="Arial" w:cs="Arial"/>
              </w:rPr>
            </w:pPr>
            <w:r w:rsidRPr="00073F2F">
              <w:rPr>
                <w:rFonts w:ascii="Arial" w:hAnsi="Arial" w:cs="Arial"/>
              </w:rPr>
              <w:t>Experience in proactively and creatively resolving challenges and to respond positively in crisis situations</w:t>
            </w:r>
          </w:p>
        </w:tc>
        <w:tc>
          <w:tcPr>
            <w:tcW w:w="3597" w:type="dxa"/>
            <w:gridSpan w:val="2"/>
            <w:tcBorders>
              <w:top w:val="single" w:sz="4" w:space="0" w:color="auto"/>
              <w:left w:val="single" w:sz="4" w:space="0" w:color="auto"/>
              <w:bottom w:val="single" w:sz="4" w:space="0" w:color="auto"/>
              <w:right w:val="single" w:sz="4" w:space="0" w:color="auto"/>
            </w:tcBorders>
          </w:tcPr>
          <w:p w14:paraId="5DDEEB15" w14:textId="36A0B39F" w:rsidR="00B82AA3" w:rsidRPr="0066265F" w:rsidRDefault="00B82AA3" w:rsidP="00B82AA3">
            <w:pPr>
              <w:spacing w:before="120" w:after="120"/>
              <w:rPr>
                <w:rFonts w:ascii="Arial" w:hAnsi="Arial" w:cs="Arial"/>
              </w:rPr>
            </w:pPr>
            <w:r w:rsidRPr="0066265F">
              <w:rPr>
                <w:rFonts w:ascii="Arial" w:hAnsi="Arial" w:cs="Arial"/>
              </w:rPr>
              <w:t>Interview</w:t>
            </w:r>
          </w:p>
        </w:tc>
      </w:tr>
      <w:tr w:rsidR="00B82AA3" w:rsidRPr="0066265F" w14:paraId="4AB1021E"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8BBBB77" w14:textId="444D453F" w:rsidR="00B82AA3" w:rsidRPr="0066265F" w:rsidRDefault="00B82AA3" w:rsidP="00B82AA3">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1513A2CB" w14:textId="0A67C026" w:rsidR="00B82AA3" w:rsidRPr="0066265F" w:rsidRDefault="00B82AA3" w:rsidP="00B82AA3">
            <w:pPr>
              <w:spacing w:before="120" w:after="120"/>
              <w:rPr>
                <w:rFonts w:ascii="Arial" w:hAnsi="Arial" w:cs="Arial"/>
              </w:rPr>
            </w:pPr>
            <w:r w:rsidRPr="63C75F3F">
              <w:rPr>
                <w:rFonts w:ascii="Arial" w:hAnsi="Arial" w:cs="Arial"/>
              </w:rPr>
              <w:t>Experience of checking invoices</w:t>
            </w:r>
            <w:r w:rsidR="004B51D6" w:rsidRPr="63C75F3F">
              <w:rPr>
                <w:rFonts w:ascii="Arial" w:hAnsi="Arial" w:cs="Arial"/>
              </w:rPr>
              <w:t>, placement costs</w:t>
            </w:r>
            <w:r w:rsidR="008E3671" w:rsidRPr="63C75F3F">
              <w:rPr>
                <w:rFonts w:ascii="Arial" w:hAnsi="Arial" w:cs="Arial"/>
              </w:rPr>
              <w:t xml:space="preserve"> or financial information</w:t>
            </w:r>
            <w:r w:rsidRPr="63C75F3F">
              <w:rPr>
                <w:rFonts w:ascii="Arial" w:hAnsi="Arial" w:cs="Arial"/>
              </w:rPr>
              <w:t xml:space="preserve"> and challeng</w:t>
            </w:r>
            <w:r w:rsidR="008E3671" w:rsidRPr="63C75F3F">
              <w:rPr>
                <w:rFonts w:ascii="Arial" w:hAnsi="Arial" w:cs="Arial"/>
              </w:rPr>
              <w:t>ing</w:t>
            </w:r>
            <w:r w:rsidRPr="63C75F3F">
              <w:rPr>
                <w:rFonts w:ascii="Arial" w:hAnsi="Arial" w:cs="Arial"/>
              </w:rPr>
              <w:t xml:space="preserve"> </w:t>
            </w:r>
            <w:r w:rsidR="00BF219C" w:rsidRPr="63C75F3F">
              <w:rPr>
                <w:rFonts w:ascii="Arial" w:hAnsi="Arial" w:cs="Arial"/>
              </w:rPr>
              <w:t>discrepancies where appropriate</w:t>
            </w:r>
          </w:p>
        </w:tc>
        <w:tc>
          <w:tcPr>
            <w:tcW w:w="3597" w:type="dxa"/>
            <w:gridSpan w:val="2"/>
            <w:tcBorders>
              <w:top w:val="single" w:sz="4" w:space="0" w:color="auto"/>
              <w:left w:val="single" w:sz="4" w:space="0" w:color="auto"/>
              <w:bottom w:val="single" w:sz="4" w:space="0" w:color="auto"/>
              <w:right w:val="single" w:sz="4" w:space="0" w:color="auto"/>
            </w:tcBorders>
          </w:tcPr>
          <w:p w14:paraId="2D590211" w14:textId="4E17B919" w:rsidR="00B82AA3" w:rsidRPr="0066265F" w:rsidRDefault="00B82AA3" w:rsidP="00B82AA3">
            <w:pPr>
              <w:spacing w:before="120" w:after="120"/>
              <w:rPr>
                <w:rFonts w:ascii="Arial" w:hAnsi="Arial" w:cs="Arial"/>
              </w:rPr>
            </w:pPr>
            <w:r w:rsidRPr="0066265F">
              <w:rPr>
                <w:rFonts w:ascii="Arial" w:hAnsi="Arial" w:cs="Arial"/>
              </w:rPr>
              <w:t>Interview</w:t>
            </w:r>
          </w:p>
        </w:tc>
      </w:tr>
      <w:tr w:rsidR="00B82AA3" w:rsidRPr="0066265F" w14:paraId="53F41605"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B82AA3" w:rsidRPr="0066265F" w:rsidRDefault="4BC201A8" w:rsidP="798E034F">
            <w:pPr>
              <w:spacing w:before="60" w:after="60"/>
              <w:rPr>
                <w:rFonts w:ascii="Arial" w:hAnsi="Arial" w:cs="Arial"/>
                <w:b/>
                <w:bCs/>
              </w:rPr>
            </w:pPr>
            <w:r w:rsidRPr="6BBCD04A">
              <w:rPr>
                <w:rFonts w:ascii="Arial" w:hAnsi="Arial" w:cs="Arial"/>
                <w:b/>
                <w:bCs/>
              </w:rPr>
              <w:t>3.</w:t>
            </w:r>
            <w:r w:rsidR="00B82AA3">
              <w:tab/>
            </w:r>
            <w:r w:rsidRPr="6BBCD04A">
              <w:rPr>
                <w:rFonts w:ascii="Arial" w:hAnsi="Arial" w:cs="Arial"/>
                <w:b/>
                <w:bCs/>
              </w:rPr>
              <w:t>Work Related Circumstances</w:t>
            </w:r>
          </w:p>
        </w:tc>
      </w:tr>
      <w:tr w:rsidR="00B82AA3" w:rsidRPr="0066265F" w14:paraId="023F9404"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B82AA3" w:rsidRPr="0066265F" w:rsidRDefault="00B82AA3" w:rsidP="00B82AA3">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B82AA3" w:rsidRPr="00B311AC" w:rsidRDefault="00B82AA3" w:rsidP="00B82AA3">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B82AA3" w:rsidRDefault="00B82AA3" w:rsidP="00B82AA3">
            <w:pPr>
              <w:spacing w:before="120" w:after="120"/>
              <w:rPr>
                <w:rFonts w:ascii="Arial" w:hAnsi="Arial" w:cs="Arial"/>
              </w:rPr>
            </w:pPr>
            <w:r>
              <w:rPr>
                <w:rFonts w:ascii="Arial" w:hAnsi="Arial" w:cs="Arial"/>
              </w:rPr>
              <w:t>Interview</w:t>
            </w:r>
          </w:p>
        </w:tc>
      </w:tr>
      <w:tr w:rsidR="00B82AA3" w:rsidRPr="0066265F" w14:paraId="2D7B6DCA"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B82AA3" w:rsidRPr="0066265F" w:rsidRDefault="00B82AA3" w:rsidP="00B82AA3">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B82AA3" w:rsidRPr="00B311AC" w:rsidRDefault="00B82AA3" w:rsidP="00B82AA3">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B82AA3" w:rsidRDefault="00B82AA3" w:rsidP="00B82AA3">
            <w:pPr>
              <w:spacing w:before="120" w:after="120"/>
              <w:rPr>
                <w:rFonts w:ascii="Arial" w:hAnsi="Arial" w:cs="Arial"/>
              </w:rPr>
            </w:pPr>
            <w:r>
              <w:rPr>
                <w:rFonts w:ascii="Arial" w:hAnsi="Arial" w:cs="Arial"/>
              </w:rPr>
              <w:t>Interview</w:t>
            </w:r>
          </w:p>
        </w:tc>
      </w:tr>
      <w:tr w:rsidR="00B82AA3" w:rsidRPr="0066265F" w14:paraId="4A5D4D0A"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B82AA3" w:rsidRPr="0066265F" w:rsidRDefault="00B82AA3" w:rsidP="00B82AA3">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06B08404" w:rsidR="00B82AA3" w:rsidRPr="0066265F" w:rsidRDefault="4BC201A8" w:rsidP="00B82AA3">
            <w:pPr>
              <w:spacing w:before="120" w:after="120"/>
              <w:rPr>
                <w:rFonts w:ascii="Arial" w:hAnsi="Arial" w:cs="Arial"/>
              </w:rPr>
            </w:pPr>
            <w:r w:rsidRPr="6BBCD04A">
              <w:rPr>
                <w:rFonts w:ascii="Arial" w:hAnsi="Arial" w:cs="Arial"/>
              </w:rPr>
              <w:t xml:space="preserve">This role requires the job holder to </w:t>
            </w:r>
            <w:r w:rsidR="4ACB4FFE" w:rsidRPr="6BBCD04A">
              <w:rPr>
                <w:rFonts w:ascii="Arial" w:hAnsi="Arial" w:cs="Arial"/>
              </w:rPr>
              <w:t xml:space="preserve">sometimes </w:t>
            </w:r>
            <w:r w:rsidRPr="6BBCD04A">
              <w:rPr>
                <w:rFonts w:ascii="Arial" w:hAnsi="Arial" w:cs="Arial"/>
              </w:rPr>
              <w:t xml:space="preserve">work outside of normal office hours, for example at evenings and weekends, to meet the needs of the service.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B82AA3" w:rsidRPr="0066265F" w:rsidRDefault="00B82AA3" w:rsidP="00B82AA3">
            <w:pPr>
              <w:spacing w:before="120" w:after="120"/>
              <w:rPr>
                <w:rFonts w:ascii="Arial" w:hAnsi="Arial" w:cs="Arial"/>
              </w:rPr>
            </w:pPr>
            <w:r>
              <w:rPr>
                <w:rFonts w:ascii="Arial" w:hAnsi="Arial" w:cs="Arial"/>
              </w:rPr>
              <w:t xml:space="preserve">Interview  </w:t>
            </w:r>
          </w:p>
        </w:tc>
      </w:tr>
      <w:tr w:rsidR="00B82AA3" w:rsidRPr="0066265F" w14:paraId="0418ACA2" w14:textId="77777777" w:rsidTr="6BBCD04A">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82AA3" w:rsidRPr="0066265F" w:rsidRDefault="00B82AA3" w:rsidP="00B82AA3">
            <w:pPr>
              <w:rPr>
                <w:rFonts w:ascii="Arial" w:hAnsi="Arial" w:cs="Arial"/>
                <w:b/>
              </w:rPr>
            </w:pPr>
            <w:r w:rsidRPr="0066265F">
              <w:rPr>
                <w:rFonts w:ascii="Arial" w:hAnsi="Arial" w:cs="Arial"/>
                <w:b/>
              </w:rPr>
              <w:lastRenderedPageBreak/>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82AA3" w:rsidRPr="0066265F" w:rsidRDefault="00B82AA3" w:rsidP="00B82AA3">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B82AA3" w:rsidRPr="0066265F" w14:paraId="3633F985"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82AA3" w:rsidRPr="0066265F" w:rsidRDefault="00B82AA3" w:rsidP="00B82AA3">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82AA3" w:rsidRPr="0066265F" w:rsidRDefault="00B82AA3" w:rsidP="00B82AA3">
            <w:pPr>
              <w:spacing w:before="120" w:after="120"/>
              <w:rPr>
                <w:rFonts w:ascii="Arial" w:hAnsi="Arial" w:cs="Arial"/>
                <w:b/>
                <w:color w:val="FFFFFF"/>
              </w:rPr>
            </w:pPr>
            <w:r w:rsidRPr="0066265F">
              <w:rPr>
                <w:rFonts w:ascii="Arial" w:hAnsi="Arial" w:cs="Arial"/>
                <w:b/>
                <w:color w:val="FFFFFF"/>
              </w:rPr>
              <w:t>Method of Assessment</w:t>
            </w:r>
          </w:p>
        </w:tc>
      </w:tr>
      <w:tr w:rsidR="00B82AA3" w:rsidRPr="0066265F" w14:paraId="31BA9E2C"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82AA3" w:rsidRPr="0066265F" w:rsidRDefault="00B82AA3" w:rsidP="00B82AA3">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B82AA3" w:rsidRPr="0066265F" w14:paraId="23DDF845" w14:textId="77777777" w:rsidTr="6BBCD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82AA3" w:rsidRPr="0066265F" w:rsidRDefault="00B82AA3" w:rsidP="00B82AA3">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01358FE0" w14:textId="77777777" w:rsidR="00F00647" w:rsidRDefault="00F00647">
            <w:pPr>
              <w:rPr>
                <w:rFonts w:ascii="Arial" w:hAnsi="Arial" w:cs="Arial"/>
                <w:b/>
              </w:rPr>
            </w:pPr>
          </w:p>
          <w:p w14:paraId="691C1707" w14:textId="251A68DC"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51F75243" w14:textId="77777777" w:rsidR="00F00647" w:rsidRDefault="00F00647">
            <w:pPr>
              <w:rPr>
                <w:rFonts w:ascii="Arial" w:hAnsi="Arial" w:cs="Arial"/>
                <w:b/>
              </w:rPr>
            </w:pPr>
          </w:p>
          <w:p w14:paraId="75AC6725" w14:textId="665FFD1F" w:rsidR="004A3A93" w:rsidRDefault="00E90DDC">
            <w:pPr>
              <w:rPr>
                <w:rFonts w:ascii="Arial" w:hAnsi="Arial" w:cs="Arial"/>
                <w:b/>
              </w:rPr>
            </w:pPr>
            <w:r>
              <w:rPr>
                <w:rFonts w:ascii="Arial" w:hAnsi="Arial" w:cs="Arial"/>
                <w:b/>
              </w:rPr>
              <w:t>January</w:t>
            </w:r>
            <w:r w:rsidR="004A3A93" w:rsidRPr="63C75F3F">
              <w:rPr>
                <w:rFonts w:ascii="Arial" w:hAnsi="Arial" w:cs="Arial"/>
                <w:b/>
                <w:bCs/>
              </w:rPr>
              <w:t>202</w:t>
            </w:r>
            <w:r w:rsidRPr="63C75F3F">
              <w:rPr>
                <w:rFonts w:ascii="Arial" w:hAnsi="Arial" w:cs="Arial"/>
                <w:b/>
                <w:bCs/>
              </w:rPr>
              <w:t>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2A4DC48" w:rsidR="00016EFF" w:rsidRDefault="00F00647">
            <w:pPr>
              <w:rPr>
                <w:rFonts w:ascii="Arial" w:hAnsi="Arial" w:cs="Arial"/>
                <w:b/>
              </w:rPr>
            </w:pPr>
            <w:r w:rsidDel="00E90DDC">
              <w:rPr>
                <w:rFonts w:ascii="Arial" w:hAnsi="Arial" w:cs="Arial"/>
                <w:b/>
              </w:rPr>
              <w:t>Head of Service</w:t>
            </w:r>
            <w:r w:rsidR="00E90DDC">
              <w:rPr>
                <w:rFonts w:ascii="Arial" w:hAnsi="Arial" w:cs="Arial"/>
                <w:b/>
              </w:rPr>
              <w:t xml:space="preserve"> Strategic Commissioning Live Well</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1DB3B4D" w14:textId="3D7B0E85" w:rsidR="00F00647" w:rsidRDefault="006A292C">
      <w:pPr>
        <w:spacing w:after="160" w:line="259" w:lineRule="auto"/>
        <w:rPr>
          <w:rFonts w:ascii="Arial" w:hAnsi="Arial" w:cs="Arial"/>
          <w:b/>
        </w:rPr>
      </w:pPr>
      <w:r>
        <w:rPr>
          <w:rFonts w:ascii="Arial" w:hAnsi="Arial" w:cs="Arial"/>
          <w:b/>
        </w:rPr>
        <w:br w:type="page"/>
      </w:r>
    </w:p>
    <w:p w14:paraId="34E8DFBB" w14:textId="77777777" w:rsidR="00F00647" w:rsidRDefault="00F00647" w:rsidP="00016EFF">
      <w:pPr>
        <w:spacing w:after="0" w:line="240" w:lineRule="auto"/>
        <w:rPr>
          <w:rFonts w:ascii="Arial" w:hAnsi="Arial" w:cs="Arial"/>
          <w:b/>
        </w:rPr>
      </w:pPr>
    </w:p>
    <w:p w14:paraId="61D29C21" w14:textId="77777777" w:rsidR="00F00647" w:rsidRDefault="00F00647" w:rsidP="00016EFF">
      <w:pPr>
        <w:spacing w:after="0" w:line="240" w:lineRule="auto"/>
        <w:rPr>
          <w:rFonts w:ascii="Arial" w:hAnsi="Arial" w:cs="Arial"/>
          <w:b/>
        </w:rPr>
      </w:pPr>
    </w:p>
    <w:p w14:paraId="0ABFF434" w14:textId="527EB42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0CCEE44D"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21F2C6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87B029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E06DDE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BE4A7D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D38C" w14:textId="77777777" w:rsidR="00E372B2" w:rsidRDefault="00E372B2" w:rsidP="00FC3378">
      <w:pPr>
        <w:spacing w:after="0" w:line="240" w:lineRule="auto"/>
      </w:pPr>
      <w:r>
        <w:separator/>
      </w:r>
    </w:p>
  </w:endnote>
  <w:endnote w:type="continuationSeparator" w:id="0">
    <w:p w14:paraId="459D4749" w14:textId="77777777" w:rsidR="00E372B2" w:rsidRDefault="00E372B2"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6898" w14:textId="77777777" w:rsidR="00E372B2" w:rsidRDefault="00E372B2" w:rsidP="00FC3378">
      <w:pPr>
        <w:spacing w:after="0" w:line="240" w:lineRule="auto"/>
      </w:pPr>
      <w:r>
        <w:separator/>
      </w:r>
    </w:p>
  </w:footnote>
  <w:footnote w:type="continuationSeparator" w:id="0">
    <w:p w14:paraId="46EAAA39" w14:textId="77777777" w:rsidR="00E372B2" w:rsidRDefault="00E372B2"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282D6D99" w:rsidR="00D1782D" w:rsidRDefault="004A3A93">
    <w:pPr>
      <w:pStyle w:val="Header"/>
    </w:pPr>
    <w:r>
      <w:t>June 2023</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7B83E40"/>
    <w:multiLevelType w:val="hybridMultilevel"/>
    <w:tmpl w:val="DCF64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4437">
    <w:abstractNumId w:val="0"/>
  </w:num>
  <w:num w:numId="2" w16cid:durableId="17445695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inson, Denise">
    <w15:presenceInfo w15:providerId="AD" w15:userId="S::denise.robinson@bolton.gov.uk::2553363b-02cb-4012-a3a8-98dbe7d834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7CFF"/>
    <w:rsid w:val="0005590F"/>
    <w:rsid w:val="00056658"/>
    <w:rsid w:val="00077142"/>
    <w:rsid w:val="000B0DDC"/>
    <w:rsid w:val="000C6DBE"/>
    <w:rsid w:val="000D4E8E"/>
    <w:rsid w:val="000E10D5"/>
    <w:rsid w:val="000F2C98"/>
    <w:rsid w:val="00101A1E"/>
    <w:rsid w:val="00107AD7"/>
    <w:rsid w:val="00107E4D"/>
    <w:rsid w:val="00123D2A"/>
    <w:rsid w:val="00130FB2"/>
    <w:rsid w:val="00143D5A"/>
    <w:rsid w:val="00160F63"/>
    <w:rsid w:val="00162C95"/>
    <w:rsid w:val="001734BC"/>
    <w:rsid w:val="0019498F"/>
    <w:rsid w:val="00197E06"/>
    <w:rsid w:val="001A3CAC"/>
    <w:rsid w:val="001C19CB"/>
    <w:rsid w:val="001D517C"/>
    <w:rsid w:val="001D547E"/>
    <w:rsid w:val="00201E4D"/>
    <w:rsid w:val="00210AD4"/>
    <w:rsid w:val="00213DDC"/>
    <w:rsid w:val="002177ED"/>
    <w:rsid w:val="002255C9"/>
    <w:rsid w:val="00236977"/>
    <w:rsid w:val="00243BEC"/>
    <w:rsid w:val="00243D13"/>
    <w:rsid w:val="00243DBF"/>
    <w:rsid w:val="00254AC1"/>
    <w:rsid w:val="00260F9E"/>
    <w:rsid w:val="00272A7C"/>
    <w:rsid w:val="00276347"/>
    <w:rsid w:val="0029324E"/>
    <w:rsid w:val="00297FEF"/>
    <w:rsid w:val="002A6BA2"/>
    <w:rsid w:val="002A6CA4"/>
    <w:rsid w:val="002C4417"/>
    <w:rsid w:val="002C5D97"/>
    <w:rsid w:val="00300D0C"/>
    <w:rsid w:val="0031083E"/>
    <w:rsid w:val="00313F02"/>
    <w:rsid w:val="0033131C"/>
    <w:rsid w:val="00332F40"/>
    <w:rsid w:val="00341267"/>
    <w:rsid w:val="0034390A"/>
    <w:rsid w:val="003443E6"/>
    <w:rsid w:val="00346ACE"/>
    <w:rsid w:val="0035152C"/>
    <w:rsid w:val="00367454"/>
    <w:rsid w:val="00392F4C"/>
    <w:rsid w:val="003A5365"/>
    <w:rsid w:val="003A74FD"/>
    <w:rsid w:val="003C7CC0"/>
    <w:rsid w:val="003D2019"/>
    <w:rsid w:val="003E3951"/>
    <w:rsid w:val="003E5856"/>
    <w:rsid w:val="00422F27"/>
    <w:rsid w:val="00436309"/>
    <w:rsid w:val="00441DF0"/>
    <w:rsid w:val="004448B0"/>
    <w:rsid w:val="00462D1F"/>
    <w:rsid w:val="00471512"/>
    <w:rsid w:val="00474F73"/>
    <w:rsid w:val="004A0E05"/>
    <w:rsid w:val="004A3A93"/>
    <w:rsid w:val="004A7421"/>
    <w:rsid w:val="004B0B10"/>
    <w:rsid w:val="004B10B5"/>
    <w:rsid w:val="004B211A"/>
    <w:rsid w:val="004B300C"/>
    <w:rsid w:val="004B3B70"/>
    <w:rsid w:val="004B51D6"/>
    <w:rsid w:val="004C24EE"/>
    <w:rsid w:val="004C4E03"/>
    <w:rsid w:val="00503E36"/>
    <w:rsid w:val="00507E9C"/>
    <w:rsid w:val="00511637"/>
    <w:rsid w:val="00517AB0"/>
    <w:rsid w:val="00521B78"/>
    <w:rsid w:val="0052303B"/>
    <w:rsid w:val="00524097"/>
    <w:rsid w:val="00535C98"/>
    <w:rsid w:val="00540855"/>
    <w:rsid w:val="0054276E"/>
    <w:rsid w:val="00557C6D"/>
    <w:rsid w:val="00562291"/>
    <w:rsid w:val="00564A86"/>
    <w:rsid w:val="005669FF"/>
    <w:rsid w:val="00581A01"/>
    <w:rsid w:val="00595F4A"/>
    <w:rsid w:val="005B2642"/>
    <w:rsid w:val="005C45FA"/>
    <w:rsid w:val="005E39FF"/>
    <w:rsid w:val="005F0F12"/>
    <w:rsid w:val="005F33EA"/>
    <w:rsid w:val="005F4207"/>
    <w:rsid w:val="00604191"/>
    <w:rsid w:val="00604ABD"/>
    <w:rsid w:val="0061085A"/>
    <w:rsid w:val="00622455"/>
    <w:rsid w:val="00632E2A"/>
    <w:rsid w:val="00655CEA"/>
    <w:rsid w:val="00662C26"/>
    <w:rsid w:val="006764F7"/>
    <w:rsid w:val="00680550"/>
    <w:rsid w:val="00680B87"/>
    <w:rsid w:val="006963CA"/>
    <w:rsid w:val="006A292C"/>
    <w:rsid w:val="006A6D1C"/>
    <w:rsid w:val="006B1340"/>
    <w:rsid w:val="006D2F07"/>
    <w:rsid w:val="006E6762"/>
    <w:rsid w:val="006F08B2"/>
    <w:rsid w:val="006F33A0"/>
    <w:rsid w:val="006F3E7E"/>
    <w:rsid w:val="006F7090"/>
    <w:rsid w:val="00704B2A"/>
    <w:rsid w:val="00732275"/>
    <w:rsid w:val="00754FF1"/>
    <w:rsid w:val="0075531B"/>
    <w:rsid w:val="00755FC4"/>
    <w:rsid w:val="00762D31"/>
    <w:rsid w:val="00771162"/>
    <w:rsid w:val="00781494"/>
    <w:rsid w:val="0078247B"/>
    <w:rsid w:val="007904DB"/>
    <w:rsid w:val="00797687"/>
    <w:rsid w:val="007A034C"/>
    <w:rsid w:val="007A506A"/>
    <w:rsid w:val="007D5F23"/>
    <w:rsid w:val="007F0D64"/>
    <w:rsid w:val="00806E67"/>
    <w:rsid w:val="00807452"/>
    <w:rsid w:val="00824AF4"/>
    <w:rsid w:val="0084132B"/>
    <w:rsid w:val="008474AA"/>
    <w:rsid w:val="00854AD2"/>
    <w:rsid w:val="00861CEF"/>
    <w:rsid w:val="008650DD"/>
    <w:rsid w:val="008715BC"/>
    <w:rsid w:val="008949A2"/>
    <w:rsid w:val="008B0D3E"/>
    <w:rsid w:val="008C58BB"/>
    <w:rsid w:val="008C6BF7"/>
    <w:rsid w:val="008D32B5"/>
    <w:rsid w:val="008D53BD"/>
    <w:rsid w:val="008E3671"/>
    <w:rsid w:val="008E3F69"/>
    <w:rsid w:val="008E4EAA"/>
    <w:rsid w:val="008F1909"/>
    <w:rsid w:val="008F646B"/>
    <w:rsid w:val="00906027"/>
    <w:rsid w:val="009257ED"/>
    <w:rsid w:val="00960A4B"/>
    <w:rsid w:val="00964875"/>
    <w:rsid w:val="009658F7"/>
    <w:rsid w:val="00977D97"/>
    <w:rsid w:val="009A3428"/>
    <w:rsid w:val="009A6047"/>
    <w:rsid w:val="009C0B34"/>
    <w:rsid w:val="009D1C42"/>
    <w:rsid w:val="009E0BD0"/>
    <w:rsid w:val="00A15695"/>
    <w:rsid w:val="00A2394B"/>
    <w:rsid w:val="00A325F0"/>
    <w:rsid w:val="00A6716C"/>
    <w:rsid w:val="00A70463"/>
    <w:rsid w:val="00AA3CF5"/>
    <w:rsid w:val="00AA55AE"/>
    <w:rsid w:val="00AC73E2"/>
    <w:rsid w:val="00B21219"/>
    <w:rsid w:val="00B2586F"/>
    <w:rsid w:val="00B311AC"/>
    <w:rsid w:val="00B4693E"/>
    <w:rsid w:val="00B47A62"/>
    <w:rsid w:val="00B56A2F"/>
    <w:rsid w:val="00B61A85"/>
    <w:rsid w:val="00B82AA3"/>
    <w:rsid w:val="00B91F7B"/>
    <w:rsid w:val="00BA51CD"/>
    <w:rsid w:val="00BB2885"/>
    <w:rsid w:val="00BC4254"/>
    <w:rsid w:val="00BE0963"/>
    <w:rsid w:val="00BF219C"/>
    <w:rsid w:val="00BF2863"/>
    <w:rsid w:val="00BF7476"/>
    <w:rsid w:val="00C03DF8"/>
    <w:rsid w:val="00C04F09"/>
    <w:rsid w:val="00C056D7"/>
    <w:rsid w:val="00C24FD5"/>
    <w:rsid w:val="00C26490"/>
    <w:rsid w:val="00C46E51"/>
    <w:rsid w:val="00C47349"/>
    <w:rsid w:val="00C55DED"/>
    <w:rsid w:val="00C561F5"/>
    <w:rsid w:val="00C60168"/>
    <w:rsid w:val="00C67DB0"/>
    <w:rsid w:val="00C70FFC"/>
    <w:rsid w:val="00CA1767"/>
    <w:rsid w:val="00CA1A29"/>
    <w:rsid w:val="00CA456C"/>
    <w:rsid w:val="00CC2BCD"/>
    <w:rsid w:val="00CD4F81"/>
    <w:rsid w:val="00CE3AD7"/>
    <w:rsid w:val="00CF6CBA"/>
    <w:rsid w:val="00D12B89"/>
    <w:rsid w:val="00D14ACB"/>
    <w:rsid w:val="00D173E5"/>
    <w:rsid w:val="00D1782D"/>
    <w:rsid w:val="00D26837"/>
    <w:rsid w:val="00D359C8"/>
    <w:rsid w:val="00D41E75"/>
    <w:rsid w:val="00D45733"/>
    <w:rsid w:val="00D46E74"/>
    <w:rsid w:val="00D55E15"/>
    <w:rsid w:val="00D561A2"/>
    <w:rsid w:val="00D62E37"/>
    <w:rsid w:val="00D818E6"/>
    <w:rsid w:val="00DB211F"/>
    <w:rsid w:val="00DB7391"/>
    <w:rsid w:val="00DD4747"/>
    <w:rsid w:val="00DE334F"/>
    <w:rsid w:val="00DE751A"/>
    <w:rsid w:val="00DF1E85"/>
    <w:rsid w:val="00DF2B34"/>
    <w:rsid w:val="00E20248"/>
    <w:rsid w:val="00E32701"/>
    <w:rsid w:val="00E372B2"/>
    <w:rsid w:val="00E374C4"/>
    <w:rsid w:val="00E61044"/>
    <w:rsid w:val="00E81323"/>
    <w:rsid w:val="00E82857"/>
    <w:rsid w:val="00E8566B"/>
    <w:rsid w:val="00E90320"/>
    <w:rsid w:val="00E90DDC"/>
    <w:rsid w:val="00E96673"/>
    <w:rsid w:val="00EC5BA8"/>
    <w:rsid w:val="00EC6276"/>
    <w:rsid w:val="00EF40E8"/>
    <w:rsid w:val="00F001C7"/>
    <w:rsid w:val="00F00647"/>
    <w:rsid w:val="00F0612F"/>
    <w:rsid w:val="00F16DF3"/>
    <w:rsid w:val="00F367BD"/>
    <w:rsid w:val="00F40C79"/>
    <w:rsid w:val="00F416C1"/>
    <w:rsid w:val="00F44007"/>
    <w:rsid w:val="00F54A79"/>
    <w:rsid w:val="00F62482"/>
    <w:rsid w:val="00F855AD"/>
    <w:rsid w:val="00F86F49"/>
    <w:rsid w:val="00F93362"/>
    <w:rsid w:val="00FA03E3"/>
    <w:rsid w:val="00FB2DB2"/>
    <w:rsid w:val="00FC3378"/>
    <w:rsid w:val="00FC6A6E"/>
    <w:rsid w:val="00FD0CD3"/>
    <w:rsid w:val="00FE2BC3"/>
    <w:rsid w:val="0141E836"/>
    <w:rsid w:val="05F2444C"/>
    <w:rsid w:val="0676D16B"/>
    <w:rsid w:val="0726AA8F"/>
    <w:rsid w:val="0810EE65"/>
    <w:rsid w:val="0B687505"/>
    <w:rsid w:val="0C588F67"/>
    <w:rsid w:val="0D4EC71E"/>
    <w:rsid w:val="0F5E34D1"/>
    <w:rsid w:val="11CBABE4"/>
    <w:rsid w:val="125991EB"/>
    <w:rsid w:val="1260A8CF"/>
    <w:rsid w:val="12B461F8"/>
    <w:rsid w:val="12C7EE48"/>
    <w:rsid w:val="14BB4FDD"/>
    <w:rsid w:val="1676440D"/>
    <w:rsid w:val="16B83668"/>
    <w:rsid w:val="1717B89D"/>
    <w:rsid w:val="1844AC84"/>
    <w:rsid w:val="1BE33B28"/>
    <w:rsid w:val="1CC0F3F1"/>
    <w:rsid w:val="1E03137A"/>
    <w:rsid w:val="1EEB794C"/>
    <w:rsid w:val="22271A8B"/>
    <w:rsid w:val="2235AB14"/>
    <w:rsid w:val="24244E62"/>
    <w:rsid w:val="249C7A5D"/>
    <w:rsid w:val="24D9328D"/>
    <w:rsid w:val="2502848D"/>
    <w:rsid w:val="2522FAAF"/>
    <w:rsid w:val="2629A63B"/>
    <w:rsid w:val="288926B4"/>
    <w:rsid w:val="2C34A7E2"/>
    <w:rsid w:val="2DC65C42"/>
    <w:rsid w:val="2E9AFACE"/>
    <w:rsid w:val="30AB5101"/>
    <w:rsid w:val="31C7F3D9"/>
    <w:rsid w:val="3933769E"/>
    <w:rsid w:val="394E83C1"/>
    <w:rsid w:val="3ABDA59E"/>
    <w:rsid w:val="3AFAB2A5"/>
    <w:rsid w:val="3B6C0738"/>
    <w:rsid w:val="3C152B8A"/>
    <w:rsid w:val="3FA699DB"/>
    <w:rsid w:val="408F2102"/>
    <w:rsid w:val="40B41CE9"/>
    <w:rsid w:val="420D51A4"/>
    <w:rsid w:val="42D6F54C"/>
    <w:rsid w:val="45A868E3"/>
    <w:rsid w:val="45E83047"/>
    <w:rsid w:val="46E3D1EB"/>
    <w:rsid w:val="4960BCBC"/>
    <w:rsid w:val="4960D317"/>
    <w:rsid w:val="49E4FEE8"/>
    <w:rsid w:val="4A679848"/>
    <w:rsid w:val="4AC7BAA7"/>
    <w:rsid w:val="4ACB4FFE"/>
    <w:rsid w:val="4B33C9D1"/>
    <w:rsid w:val="4BC201A8"/>
    <w:rsid w:val="4EECC31E"/>
    <w:rsid w:val="4F950081"/>
    <w:rsid w:val="50027555"/>
    <w:rsid w:val="5003DE85"/>
    <w:rsid w:val="51C54AE6"/>
    <w:rsid w:val="53547F01"/>
    <w:rsid w:val="549AA3BD"/>
    <w:rsid w:val="54E4A613"/>
    <w:rsid w:val="5605839E"/>
    <w:rsid w:val="57B22F75"/>
    <w:rsid w:val="57CB35A0"/>
    <w:rsid w:val="5F11F42B"/>
    <w:rsid w:val="5F6DDC59"/>
    <w:rsid w:val="621F425C"/>
    <w:rsid w:val="63C75F3F"/>
    <w:rsid w:val="65CC5B8F"/>
    <w:rsid w:val="69AE25F9"/>
    <w:rsid w:val="6B7C70A4"/>
    <w:rsid w:val="6BB8D058"/>
    <w:rsid w:val="6BBCD04A"/>
    <w:rsid w:val="6E1D829A"/>
    <w:rsid w:val="6F9AFCDA"/>
    <w:rsid w:val="6FA64E78"/>
    <w:rsid w:val="72CC53CB"/>
    <w:rsid w:val="7653070B"/>
    <w:rsid w:val="766C1C1D"/>
    <w:rsid w:val="76BE1E46"/>
    <w:rsid w:val="78DD4562"/>
    <w:rsid w:val="798E034F"/>
    <w:rsid w:val="79CE3490"/>
    <w:rsid w:val="7A457F1A"/>
    <w:rsid w:val="7BA5D4A1"/>
    <w:rsid w:val="7C63AB69"/>
    <w:rsid w:val="7E05374F"/>
    <w:rsid w:val="7FFF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normaltextrun">
    <w:name w:val="normaltextrun"/>
    <w:basedOn w:val="DefaultParagraphFont"/>
    <w:rsid w:val="0033131C"/>
  </w:style>
  <w:style w:type="paragraph" w:styleId="NoSpacing">
    <w:name w:val="No Spacing"/>
    <w:uiPriority w:val="1"/>
    <w:qFormat/>
    <w:rsid w:val="0033131C"/>
    <w:pPr>
      <w:spacing w:after="0" w:line="240" w:lineRule="auto"/>
    </w:pPr>
  </w:style>
  <w:style w:type="paragraph" w:styleId="Revision">
    <w:name w:val="Revision"/>
    <w:hidden/>
    <w:uiPriority w:val="99"/>
    <w:semiHidden/>
    <w:rsid w:val="00871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microsoft.com/office/2011/relationships/people" Target="peop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1610</Words>
  <Characters>9582</Characters>
  <Application>Microsoft Office Word</Application>
  <DocSecurity>0</DocSecurity>
  <Lines>293</Lines>
  <Paragraphs>149</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Robinson, Denise</cp:lastModifiedBy>
  <cp:revision>10</cp:revision>
  <dcterms:created xsi:type="dcterms:W3CDTF">2026-03-17T10:25:00Z</dcterms:created>
  <dcterms:modified xsi:type="dcterms:W3CDTF">2026-03-24T15:52:00Z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