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Principal Officer – Start Well Commissioning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 xml:space="preserve">Grade J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provide both project and strategic support in the development, implementation and coordination of a range of commissioning work programmes primarily within the Start Well pillar.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manage and develop a team of Commissioning and Placement Officers with the aim of ensuring services commissioned by the Council are high quality and meet the demands of the local area.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develop strong, effective and collaborative relationships with service providers, service users and other key stakeholders.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deputise for the Head of Service where required.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Strategic Commissioning (Start Well)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Commissioning and Placement Officers</w:t>
            </w:r>
          </w:p>
        </w:tc>
      </w:tr>
    </w:tbl>
    <w:p>
      <w:pPr>
        <w:pStyle w:val="Normal"/>
        <w:spacing w:lineRule="auto" w:line="360" w:before="0" w:after="120"/>
        <w:rPr>
          <w:rFonts w:ascii="Arial" w:hAnsi="Arial" w:cs="Arial"/>
          <w:b/>
          <w:b/>
          <w:u w:val="single"/>
        </w:rPr>
      </w:pPr>
      <w:r>
        <w:rPr>
          <w:rFonts w:cs="Arial" w:ascii="Arial" w:hAnsi="Arial"/>
          <w:b/>
          <w:u w:val="single"/>
        </w:rPr>
      </w:r>
    </w:p>
    <w:p>
      <w:pPr>
        <w:pStyle w:val="Normal"/>
        <w:spacing w:lineRule="auto" w:line="360" w:before="0" w:after="120"/>
        <w:rPr>
          <w:rFonts w:ascii="Arial" w:hAnsi="Arial" w:cs="Arial"/>
          <w:b/>
          <w:b/>
          <w:u w:val="single"/>
        </w:rPr>
      </w:pPr>
      <w:r>
        <w:rPr>
          <w:rFonts w:cs="Arial" w:ascii="Arial" w:hAnsi="Arial"/>
          <w:b/>
          <w:u w:val="single"/>
        </w:rPr>
        <w:t>Management and General Duties:</w:t>
      </w:r>
    </w:p>
    <w:p>
      <w:pPr>
        <w:pStyle w:val="ListParagraph"/>
        <w:numPr>
          <w:ilvl w:val="0"/>
          <w:numId w:val="1"/>
        </w:numPr>
        <w:spacing w:lineRule="auto" w:line="360"/>
        <w:rPr/>
      </w:pPr>
      <w:r>
        <w:rPr>
          <w:rStyle w:val="Normaltextrun"/>
          <w:rFonts w:cs="Arial"/>
          <w:color w:val="000000"/>
          <w:shd w:fill="FFFFFF" w:val="clear"/>
        </w:rPr>
        <w:t xml:space="preserve">Lead, manage and develop a </w:t>
      </w:r>
      <w:r>
        <w:rPr>
          <w:rStyle w:val="Normaltextrun"/>
          <w:rFonts w:cs="Arial"/>
          <w:shd w:fill="FFFFFF" w:val="clear"/>
        </w:rPr>
        <w:t xml:space="preserve">team of </w:t>
      </w:r>
      <w:r>
        <w:rPr>
          <w:rFonts w:cs="Arial"/>
        </w:rPr>
        <w:t>Commissioning and Placement Officers</w:t>
      </w:r>
      <w:r>
        <w:rPr>
          <w:rStyle w:val="Normaltextrun"/>
          <w:rFonts w:cs="Arial"/>
          <w:shd w:fill="FFFFFF" w:val="clear"/>
        </w:rPr>
        <w:t xml:space="preserve"> with </w:t>
      </w:r>
      <w:r>
        <w:rPr>
          <w:rStyle w:val="Normaltextrun"/>
          <w:rFonts w:cs="Arial"/>
          <w:color w:val="000000"/>
          <w:shd w:fill="FFFFFF" w:val="clear"/>
        </w:rPr>
        <w:t xml:space="preserve">a particular focus on the delivery of high quality, effective and well managed contracted services. </w:t>
      </w:r>
    </w:p>
    <w:p>
      <w:pPr>
        <w:pStyle w:val="ListParagraph"/>
        <w:numPr>
          <w:ilvl w:val="0"/>
          <w:numId w:val="1"/>
        </w:numPr>
        <w:spacing w:lineRule="auto" w:line="360"/>
        <w:rPr/>
      </w:pPr>
      <w:r>
        <w:rPr>
          <w:rStyle w:val="Normaltextrun"/>
          <w:rFonts w:cs="Arial"/>
          <w:color w:val="000000"/>
          <w:shd w:fill="FFFFFF" w:val="clear"/>
        </w:rPr>
        <w:t xml:space="preserve">Source and/or develop and deliver training/briefings to your allocated staff as required to support the drive for continued professional development. </w:t>
      </w:r>
    </w:p>
    <w:p>
      <w:pPr>
        <w:pStyle w:val="ListParagraph"/>
        <w:numPr>
          <w:ilvl w:val="0"/>
          <w:numId w:val="1"/>
        </w:numPr>
        <w:spacing w:lineRule="auto" w:line="360"/>
        <w:rPr>
          <w:rFonts w:cs="Arial"/>
          <w:bCs/>
        </w:rPr>
      </w:pPr>
      <w:r>
        <w:rPr>
          <w:rFonts w:cs="Arial"/>
          <w:bCs/>
        </w:rPr>
        <w:t xml:space="preserve">Assist the Head of Service in the development and/or delivery of strategic work plans.  </w:t>
      </w:r>
    </w:p>
    <w:p>
      <w:pPr>
        <w:pStyle w:val="ListParagraph"/>
        <w:numPr>
          <w:ilvl w:val="0"/>
          <w:numId w:val="1"/>
        </w:numPr>
        <w:spacing w:lineRule="auto" w:line="360"/>
        <w:rPr/>
      </w:pPr>
      <w:r>
        <w:rPr>
          <w:rStyle w:val="Normaltextrun"/>
          <w:rFonts w:cs="Arial"/>
          <w:color w:val="000000"/>
          <w:shd w:fill="FFFFFF" w:val="clear"/>
        </w:rPr>
        <w:t>Lead on various interlinked projects ensuring a robust project management approach is adopted, milestones are achieved, dependencies managed and benefits realised.</w:t>
      </w:r>
    </w:p>
    <w:p>
      <w:pPr>
        <w:pStyle w:val="ListParagraph"/>
        <w:numPr>
          <w:ilvl w:val="0"/>
          <w:numId w:val="1"/>
        </w:numPr>
        <w:spacing w:lineRule="auto" w:line="360"/>
        <w:rPr>
          <w:rFonts w:cs="Arial"/>
          <w:bCs/>
        </w:rPr>
      </w:pPr>
      <w:r>
        <w:rPr>
          <w:rFonts w:cs="Arial"/>
          <w:bCs/>
        </w:rPr>
        <w:t xml:space="preserve">To represent the Department as required on local, regional, national or multi-disciplinary working groups. </w:t>
      </w:r>
    </w:p>
    <w:p>
      <w:pPr>
        <w:pStyle w:val="ListParagraph"/>
        <w:numPr>
          <w:ilvl w:val="0"/>
          <w:numId w:val="1"/>
        </w:numPr>
        <w:spacing w:lineRule="auto" w:line="360"/>
        <w:rPr>
          <w:rFonts w:cs="Arial"/>
          <w:bCs/>
        </w:rPr>
      </w:pPr>
      <w:r>
        <w:rPr>
          <w:rFonts w:cs="Arial"/>
          <w:bCs/>
        </w:rPr>
        <w:t xml:space="preserve">To support the development and implementation of local policies and protocols where required. </w:t>
      </w:r>
    </w:p>
    <w:p>
      <w:pPr>
        <w:pStyle w:val="ListParagraph"/>
        <w:numPr>
          <w:ilvl w:val="0"/>
          <w:numId w:val="1"/>
        </w:numPr>
        <w:spacing w:lineRule="auto" w:line="360"/>
        <w:rPr>
          <w:bCs/>
        </w:rPr>
      </w:pPr>
      <w:r>
        <w:rPr>
          <w:bCs/>
        </w:rPr>
        <w:t xml:space="preserve">Lead on embedding positive relationships within your associated work pillar and with other teams and partner organisations to effectively manage the delivery, improvement and integration of services. </w:t>
      </w:r>
    </w:p>
    <w:p>
      <w:pPr>
        <w:pStyle w:val="ListParagraph"/>
        <w:numPr>
          <w:ilvl w:val="0"/>
          <w:numId w:val="1"/>
        </w:numPr>
        <w:spacing w:lineRule="auto" w:line="360"/>
        <w:rPr/>
      </w:pPr>
      <w:r>
        <w:rPr/>
        <w:t xml:space="preserve">Take responsibility for self-development and keep abreast of and advise on the implications of national and local policy initiatives, ensuring familiarity with legislation, research, specialist advice, innovative service models and best practice, and use this information to help inform and develop local services. </w:t>
      </w:r>
    </w:p>
    <w:p>
      <w:pPr>
        <w:pStyle w:val="ListParagraph"/>
        <w:numPr>
          <w:ilvl w:val="0"/>
          <w:numId w:val="1"/>
        </w:numPr>
        <w:spacing w:lineRule="auto" w:line="360"/>
        <w:rPr/>
      </w:pPr>
      <w:r>
        <w:rPr/>
        <w:t>Provide senior officers, elected members and other relevant stakeholders with information to enable them to make informed decisions regarding the development and improvement of services.</w:t>
      </w:r>
    </w:p>
    <w:p>
      <w:pPr>
        <w:pStyle w:val="ListParagraph"/>
        <w:numPr>
          <w:ilvl w:val="0"/>
          <w:numId w:val="1"/>
        </w:numPr>
        <w:spacing w:lineRule="auto" w:line="360"/>
        <w:rPr/>
      </w:pPr>
      <w:r>
        <w:rPr/>
        <w:t>Prepare high quality reports to inform decision making and attend and where required chair working groups, committees and other internal or external meetings.</w:t>
      </w:r>
    </w:p>
    <w:p>
      <w:pPr>
        <w:pStyle w:val="ListParagraph"/>
        <w:numPr>
          <w:ilvl w:val="0"/>
          <w:numId w:val="1"/>
        </w:numPr>
        <w:spacing w:lineRule="auto" w:line="360" w:before="0" w:after="120"/>
        <w:contextualSpacing/>
        <w:rPr/>
      </w:pPr>
      <w:r>
        <w:rPr>
          <w:rStyle w:val="Normaltextrun"/>
          <w:rFonts w:cs="Arial"/>
        </w:rPr>
        <w:t xml:space="preserve">To research the rapidly changing environment in commissioning and delivery of Public Services to identify best practice and opportunities for improvement.  </w:t>
      </w:r>
    </w:p>
    <w:p>
      <w:pPr>
        <w:pStyle w:val="ListParagraph"/>
        <w:numPr>
          <w:ilvl w:val="0"/>
          <w:numId w:val="1"/>
        </w:numPr>
        <w:spacing w:lineRule="auto" w:line="360" w:before="0" w:after="120"/>
        <w:contextualSpacing/>
        <w:rPr/>
      </w:pPr>
      <w:r>
        <w:rPr>
          <w:rStyle w:val="Normaltextrun"/>
          <w:rFonts w:cs="Arial"/>
        </w:rPr>
        <w:t>To collate and analyse relevant data sets/dashboards/intelligence in order to support market/provider development and review market performance.</w:t>
      </w:r>
    </w:p>
    <w:p>
      <w:pPr>
        <w:pStyle w:val="ListParagraph"/>
        <w:numPr>
          <w:ilvl w:val="0"/>
          <w:numId w:val="1"/>
        </w:numPr>
        <w:spacing w:lineRule="auto" w:line="360" w:before="0" w:after="120"/>
        <w:contextualSpacing/>
        <w:rPr>
          <w:rFonts w:cs="Arial"/>
        </w:rPr>
      </w:pPr>
      <w:r>
        <w:rPr>
          <w:rFonts w:cs="Arial"/>
        </w:rPr>
        <w:t>Take a lead responsibility for commissioning a wide range of services and implementing sustainable contracting arrangements with providers.</w:t>
      </w:r>
    </w:p>
    <w:p>
      <w:pPr>
        <w:pStyle w:val="ListParagraph"/>
        <w:numPr>
          <w:ilvl w:val="0"/>
          <w:numId w:val="1"/>
        </w:numPr>
        <w:spacing w:lineRule="auto" w:line="360" w:before="0" w:after="120"/>
        <w:contextualSpacing/>
        <w:rPr>
          <w:rFonts w:cs="Arial"/>
        </w:rPr>
      </w:pPr>
      <w:r>
        <w:rPr>
          <w:rFonts w:cs="Arial"/>
        </w:rPr>
        <w:t>Support the Head of Service to develop innovative and cost-effective service models which meet identified needs.</w:t>
      </w:r>
    </w:p>
    <w:p>
      <w:pPr>
        <w:pStyle w:val="ListParagraph"/>
        <w:numPr>
          <w:ilvl w:val="0"/>
          <w:numId w:val="1"/>
        </w:numPr>
        <w:spacing w:lineRule="auto" w:line="360" w:before="0" w:after="120"/>
        <w:contextualSpacing/>
        <w:rPr>
          <w:rFonts w:cs="Arial"/>
        </w:rPr>
      </w:pPr>
      <w:r>
        <w:rPr>
          <w:rFonts w:cs="Arial"/>
        </w:rPr>
        <w:t>Lead on the development of strategies and related plans, including options appraisals and implementation plans, which lead to the provision of efficient and cost-effective services reflecting best practice, de-commissioning existing services where appropriate.</w:t>
      </w:r>
    </w:p>
    <w:p>
      <w:pPr>
        <w:pStyle w:val="ListParagraph"/>
        <w:numPr>
          <w:ilvl w:val="0"/>
          <w:numId w:val="1"/>
        </w:numPr>
        <w:spacing w:lineRule="auto" w:line="360" w:before="0" w:after="120"/>
        <w:contextualSpacing/>
        <w:rPr>
          <w:rFonts w:cs="Arial"/>
        </w:rPr>
      </w:pPr>
      <w:r>
        <w:rPr>
          <w:rFonts w:cs="Arial"/>
        </w:rPr>
        <w:t>Support commissioning officers to develop outcome-based service specifications to meet needs, ensuring that value for money and measurable quality outcomes are defined.</w:t>
      </w:r>
    </w:p>
    <w:p>
      <w:pPr>
        <w:pStyle w:val="ListParagraph"/>
        <w:numPr>
          <w:ilvl w:val="0"/>
          <w:numId w:val="1"/>
        </w:numPr>
        <w:spacing w:lineRule="auto" w:line="360" w:before="0" w:after="120"/>
        <w:contextualSpacing/>
        <w:rPr/>
      </w:pPr>
      <w:r>
        <w:rPr/>
        <w:t>Lead on the evaluation and review of contract arrangements, including pricing and quality outcomes.</w:t>
      </w:r>
    </w:p>
    <w:p>
      <w:pPr>
        <w:pStyle w:val="ListParagraph"/>
        <w:numPr>
          <w:ilvl w:val="0"/>
          <w:numId w:val="1"/>
        </w:numPr>
        <w:spacing w:lineRule="auto" w:line="360" w:before="0" w:after="120"/>
        <w:contextualSpacing/>
        <w:rPr/>
      </w:pPr>
      <w:r>
        <w:rPr/>
        <w:t>Work proactively with providers to develop effective working relationships and manage the market to ensure a robust, flexible and sustainable economy of services and support.</w:t>
      </w:r>
    </w:p>
    <w:p>
      <w:pPr>
        <w:pStyle w:val="ListParagraph"/>
        <w:numPr>
          <w:ilvl w:val="0"/>
          <w:numId w:val="1"/>
        </w:numPr>
        <w:spacing w:lineRule="auto" w:line="360" w:before="0" w:after="120"/>
        <w:contextualSpacing/>
        <w:rPr/>
      </w:pPr>
      <w:r>
        <w:rPr/>
        <w:t>Work with operational teams to provide technical advice, support and guidance in support of contracts. This will include devising and implementing flexible and robust contractual arrangements with a range of providers</w:t>
      </w:r>
    </w:p>
    <w:p>
      <w:pPr>
        <w:pStyle w:val="ListParagraph"/>
        <w:numPr>
          <w:ilvl w:val="0"/>
          <w:numId w:val="1"/>
        </w:numPr>
        <w:spacing w:lineRule="auto" w:line="360" w:before="0" w:after="120"/>
        <w:contextualSpacing/>
        <w:rPr/>
      </w:pPr>
      <w:r>
        <w:rPr/>
        <w:t>Lead negotiations and communications with providers relating to fees and contractual terms and condition</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57" w:type="dxa"/>
          <w:left w:w="108" w:type="dxa"/>
          <w:bottom w:w="57" w:type="dxa"/>
          <w:right w:w="108" w:type="dxa"/>
        </w:tblCellMar>
      </w:tblPr>
      <w:tblGrid>
        <w:gridCol w:w="4572"/>
        <w:gridCol w:w="5065"/>
      </w:tblGrid>
      <w:tr>
        <w:trPr/>
        <w:tc>
          <w:tcPr>
            <w:tcW w:w="4572"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pPr>
            <w:r>
              <w:rPr>
                <w:rFonts w:cs="Arial" w:ascii="Arial" w:hAnsi="Arial"/>
                <w:b/>
              </w:rPr>
              <w:t>30</w:t>
            </w:r>
            <w:r>
              <w:rPr>
                <w:rFonts w:cs="Arial" w:ascii="Arial" w:hAnsi="Arial"/>
                <w:b/>
                <w:vertAlign w:val="superscript"/>
              </w:rPr>
              <w:t>th</w:t>
            </w:r>
            <w:r>
              <w:rPr>
                <w:rFonts w:cs="Arial" w:ascii="Arial" w:hAnsi="Arial"/>
                <w:b/>
              </w:rPr>
              <w:t xml:space="preserve"> June 2026</w:t>
            </w:r>
          </w:p>
        </w:tc>
      </w:tr>
      <w:tr>
        <w:trPr/>
        <w:tc>
          <w:tcPr>
            <w:tcW w:w="4572"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Stuart Smythe</w:t>
            </w:r>
          </w:p>
        </w:tc>
      </w:tr>
    </w:tbl>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4217"/>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principAL Officer – Start Well COMMISSIONING</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Detailed knowledge and understanding of the legal, policy and financial framework within which the local authority operates.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Application/Presentation</w:t>
            </w:r>
          </w:p>
        </w:tc>
      </w:tr>
      <w:tr>
        <w:trPr>
          <w:cantSplit w:val="true"/>
        </w:trPr>
        <w:tc>
          <w:tcPr>
            <w:tcW w:w="646" w:type="dxa"/>
            <w:tcBorders>
              <w:top w:val="single" w:sz="4" w:space="0" w:color="000000"/>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Detailed knowledge of the requirements of legislation and regulatory frameworks associated to this role.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project management skills and the ability to lead, co-ordinate and deliver a number of complex projects within a wider programme and bring to their successful delivery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Interview/Presentation</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develop a wide range of relationships both within and outside the department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color w:val="00B050"/>
              </w:rPr>
            </w:pPr>
            <w:r>
              <w:rPr>
                <w:rFonts w:cs="Arial"/>
                <w:color w:val="00B050"/>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outcome-based commissioning, developing outcome-based service specifications and the monitoring of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contractual processes, tendering, monitoring, review and evaluation of contract compliance.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contractual processes, tendering, monitoring, review and evaluation of contract compliance.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Application/Presentation</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analyse, interpret and present statistical data and narrative information and make recommendations based on this analysis.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Interview/Presentation</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verbal and written communication skills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present information effectively both through presentations, reports and using effective publicity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Interview/Presentation</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ICT skills, including word processing, spreadsheet and database use.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understanding of vulnerable client groups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a variety of research tools; databases; reference publications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 care environment, professional social work practice or in a social care case management, contract management, commissioning, inspection, or audit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Significant experience of service commissioning.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delivering projects in an organisation of comparable scope and complexity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tbl>
            <w:tblPr>
              <w:tblW w:w="10075" w:type="dxa"/>
              <w:jc w:val="left"/>
              <w:tblInd w:w="0" w:type="dxa"/>
              <w:tblCellMar>
                <w:top w:w="0" w:type="dxa"/>
                <w:left w:w="108" w:type="dxa"/>
                <w:bottom w:w="0" w:type="dxa"/>
                <w:right w:w="108" w:type="dxa"/>
              </w:tblCellMar>
            </w:tblPr>
            <w:tblGrid>
              <w:gridCol w:w="10075"/>
            </w:tblGrid>
            <w:tr>
              <w:trPr>
                <w:cantSplit w:val="true"/>
              </w:trPr>
              <w:tc>
                <w:tcPr>
                  <w:tcW w:w="10075" w:type="dxa"/>
                  <w:tcBorders>
                    <w:top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continuous professional development.</w:t>
                  </w:r>
                </w:p>
              </w:tc>
            </w:tr>
          </w:tbl>
          <w:p>
            <w:pPr>
              <w:pStyle w:val="Normal"/>
              <w:spacing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council managers and service heads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Qualified to degree level or equivalent OR significant relevant experience in a commissioning role within a health or social care environment.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Ability to travel within the Borough as required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June 2026</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Stuart Smythe</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bCs/>
        <w:rFonts w:cs="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false"/>
        <w:bC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auto"/>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rFonts w:cs="Arial"/>
      <w:b/>
      <w:bCs/>
      <w:color w:val="00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val="false"/>
      <w:bC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color w:val="auto"/>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2026-06-30T15:08:00Z</dcterms:created>
  <dc:creator>Johnson, Andrew</dc:creator>
  <dc:description/>
  <dc:language>en-US</dc:language>
  <cp:lastModifiedBy>Smythe, Stuart</cp:lastModifiedBy>
  <cp:lastPrinted>1995-11-21T17:41:00Z</cp:lastPrinted>
  <dcterms:modified xsi:type="dcterms:W3CDTF">2026-06-30T15:08:00Z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13500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