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8.png" ContentType="image/png"/>
  <Override PartName="/word/media/image3.jpeg" ContentType="image/jpeg"/>
  <Override PartName="/word/media/image5.png" ContentType="image/png"/>
  <Override PartName="/word/media/image4.jpeg" ContentType="image/jpeg"/>
  <Override PartName="/word/media/image6.png" ContentType="image/png"/>
  <Override PartName="/word/media/image7.png" ContentType="image/png"/>
  <Override PartName="/word/media/image9.png" ContentType="image/png"/>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8">
            <wp:simplePos x="0" y="0"/>
            <wp:positionH relativeFrom="column">
              <wp:posOffset>4394835</wp:posOffset>
            </wp:positionH>
            <wp:positionV relativeFrom="paragraph">
              <wp:posOffset>-513080</wp:posOffset>
            </wp:positionV>
            <wp:extent cx="1904365" cy="83756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mc:AlternateContent>
          <mc:Choice Requires="wps">
            <w:drawing>
              <wp:anchor behindDoc="0" distT="0" distB="0" distL="114935" distR="114935" simplePos="0" locked="0" layoutInCell="1" allowOverlap="1" relativeHeight="9">
                <wp:simplePos x="0" y="0"/>
                <wp:positionH relativeFrom="column">
                  <wp:posOffset>-302895</wp:posOffset>
                </wp:positionH>
                <wp:positionV relativeFrom="paragraph">
                  <wp:posOffset>21590</wp:posOffset>
                </wp:positionV>
                <wp:extent cx="2828290" cy="648970"/>
                <wp:effectExtent l="0" t="0" r="0" b="0"/>
                <wp:wrapNone/>
                <wp:docPr id="2" name="Text Box 2"/>
                <a:graphic xmlns:a="http://schemas.openxmlformats.org/drawingml/2006/main">
                  <a:graphicData uri="http://schemas.microsoft.com/office/word/2010/wordprocessingShape">
                    <wps:wsp>
                      <wps:cNvSpPr/>
                      <wps:spPr>
                        <a:xfrm>
                          <a:off x="0" y="0"/>
                          <a:ext cx="2827800" cy="6483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23.85pt;margin-top:1.7pt;width:222.6pt;height:51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11">
                <wp:simplePos x="0" y="0"/>
                <wp:positionH relativeFrom="column">
                  <wp:posOffset>-302895</wp:posOffset>
                </wp:positionH>
                <wp:positionV relativeFrom="paragraph">
                  <wp:posOffset>21590</wp:posOffset>
                </wp:positionV>
                <wp:extent cx="2827655" cy="648335"/>
                <wp:effectExtent l="0" t="0" r="0" b="0"/>
                <wp:wrapNone/>
                <wp:docPr id="3" name="Frame1"/>
                <a:graphic xmlns:a="http://schemas.openxmlformats.org/drawingml/2006/main">
                  <a:graphicData uri="http://schemas.microsoft.com/office/word/2010/wordprocessingShape">
                    <wps:wsp>
                      <wps:cNvSpPr txBox="1"/>
                      <wps:spPr>
                        <a:xfrm>
                          <a:off x="0" y="0"/>
                          <a:ext cx="2827655" cy="648335"/>
                        </a:xfrm>
                        <a:prstGeom prst="rect"/>
                        <a:solidFill>
                          <a:srgbClr val="FFFFFF"/>
                        </a:solidFill>
                      </wps:spPr>
                      <wps:txbx>
                        <w:txbxContent>
                          <w:p>
                            <w:pPr>
                              <w:pStyle w:val="FrameContents"/>
                              <w:spacing w:before="0" w:after="200"/>
                              <w:rPr/>
                            </w:pPr>
                            <w:r>
                              <w:rPr/>
                              <w:drawing>
                                <wp:inline distT="0" distB="0" distL="0" distR="0">
                                  <wp:extent cx="2665730" cy="50927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22.65pt;height:51.05pt;mso-wrap-distance-left:0pt;mso-wrap-distance-right:0pt;mso-wrap-distance-top:5.7pt;mso-wrap-distance-bottom:5.7pt;margin-top:1.7pt;mso-position-vertical-relative:text;margin-left:-23.85pt;mso-position-horizontal-relative:text">
                <v:textbox inset="0.100694444444444in,0.0506944444444444in,0.100694444444444in,0.0506944444444444in">
                  <w:txbxContent>
                    <w:p>
                      <w:pPr>
                        <w:pStyle w:val="FrameContents"/>
                        <w:spacing w:before="0" w:after="200"/>
                        <w:rPr/>
                      </w:pPr>
                      <w:r>
                        <w:rPr/>
                        <w:drawing>
                          <wp:inline distT="0" distB="0" distL="0" distR="0">
                            <wp:extent cx="2665730" cy="50927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v:textbox>
              </v:rect>
            </w:pict>
          </mc:Fallback>
        </mc:AlternateContent>
      </w:r>
    </w:p>
    <w:p>
      <w:pPr>
        <w:pStyle w:val="Normal"/>
        <w:rPr>
          <w:rFonts w:eastAsia="Calibri" w:cs="Calibri"/>
        </w:rPr>
      </w:pPr>
      <w:r>
        <w:rPr>
          <w:rFonts w:eastAsia="Calibri" w:cs="Calibri"/>
        </w:rPr>
        <w:t xml:space="preserve"> </w:t>
      </w:r>
    </w:p>
    <w:p>
      <w:pPr>
        <w:pStyle w:val="Normal"/>
        <w:rPr/>
      </w:pPr>
      <w:r>
        <w:rPr/>
      </w:r>
    </w:p>
    <w:tbl>
      <w:tblPr>
        <w:tblW w:w="9627" w:type="dxa"/>
        <w:jc w:val="left"/>
        <w:tblInd w:w="0" w:type="dxa"/>
        <w:tblCellMar>
          <w:top w:w="0" w:type="dxa"/>
          <w:left w:w="108" w:type="dxa"/>
          <w:bottom w:w="0" w:type="dxa"/>
          <w:right w:w="108" w:type="dxa"/>
        </w:tblCellMar>
      </w:tblPr>
      <w:tblGrid>
        <w:gridCol w:w="2638"/>
        <w:gridCol w:w="6989"/>
      </w:tblGrid>
      <w:tr>
        <w:trPr>
          <w:trHeight w:val="506" w:hRule="atLeast"/>
        </w:trPr>
        <w:tc>
          <w:tcPr>
            <w:tcW w:w="2638" w:type="dxa"/>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89" w:type="dxa"/>
            <w:tcBorders/>
            <w:shd w:fill="auto" w:val="clear"/>
          </w:tcPr>
          <w:p>
            <w:pPr>
              <w:pStyle w:val="Normal"/>
              <w:spacing w:lineRule="auto" w:line="240" w:before="0" w:after="0"/>
              <w:rPr>
                <w:rFonts w:ascii="Arial" w:hAnsi="Arial" w:cs="Arial"/>
                <w:b/>
                <w:b/>
              </w:rPr>
            </w:pPr>
            <w:r>
              <w:rPr>
                <w:rFonts w:cs="Arial" w:ascii="Arial" w:hAnsi="Arial"/>
                <w:b/>
              </w:rPr>
              <w:t xml:space="preserve">CHILDREN’S SERVICES </w:t>
            </w:r>
          </w:p>
        </w:tc>
      </w:tr>
      <w:tr>
        <w:trPr>
          <w:trHeight w:val="506" w:hRule="atLeast"/>
        </w:trPr>
        <w:tc>
          <w:tcPr>
            <w:tcW w:w="2638" w:type="dxa"/>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89" w:type="dxa"/>
            <w:tcBorders/>
            <w:shd w:fill="auto" w:val="clear"/>
          </w:tcPr>
          <w:p>
            <w:pPr>
              <w:pStyle w:val="Normal"/>
              <w:spacing w:lineRule="auto" w:line="240" w:before="0" w:after="0"/>
              <w:rPr>
                <w:rFonts w:ascii="Arial" w:hAnsi="Arial" w:cs="Arial"/>
              </w:rPr>
            </w:pPr>
            <w:r>
              <w:rPr>
                <w:rFonts w:cs="Arial" w:ascii="Arial" w:hAnsi="Arial"/>
              </w:rPr>
              <w:t>TARGETED YOUTH SUPPORT WORKER (Family Help)</w:t>
            </w:r>
          </w:p>
        </w:tc>
      </w:tr>
      <w:tr>
        <w:trPr>
          <w:trHeight w:val="506" w:hRule="atLeast"/>
        </w:trPr>
        <w:tc>
          <w:tcPr>
            <w:tcW w:w="2638" w:type="dxa"/>
            <w:tcBorders/>
            <w:shd w:fill="auto" w:val="clear"/>
          </w:tcPr>
          <w:p>
            <w:pPr>
              <w:pStyle w:val="Normal"/>
              <w:spacing w:lineRule="auto" w:line="240" w:before="0" w:after="0"/>
              <w:rPr>
                <w:rFonts w:ascii="Arial" w:hAnsi="Arial" w:cs="Arial"/>
                <w:b/>
                <w:b/>
              </w:rPr>
            </w:pPr>
            <w:r>
              <w:rPr>
                <w:rFonts w:cs="Arial" w:ascii="Arial" w:hAnsi="Arial"/>
                <w:b/>
              </w:rPr>
              <w:t>Grade</w:t>
            </w:r>
          </w:p>
        </w:tc>
        <w:tc>
          <w:tcPr>
            <w:tcW w:w="6989" w:type="dxa"/>
            <w:tcBorders/>
            <w:shd w:fill="auto" w:val="clear"/>
          </w:tcPr>
          <w:p>
            <w:pPr>
              <w:pStyle w:val="Normal"/>
              <w:spacing w:lineRule="auto" w:line="240" w:before="0" w:after="0"/>
              <w:rPr>
                <w:rFonts w:ascii="Arial" w:hAnsi="Arial" w:cs="Arial"/>
              </w:rPr>
            </w:pPr>
            <w:r>
              <w:rPr>
                <w:rFonts w:cs="Arial" w:ascii="Arial" w:hAnsi="Arial"/>
              </w:rPr>
              <w:t>G</w:t>
            </w:r>
          </w:p>
        </w:tc>
      </w:tr>
      <w:tr>
        <w:trPr>
          <w:trHeight w:val="506" w:hRule="atLeast"/>
        </w:trPr>
        <w:tc>
          <w:tcPr>
            <w:tcW w:w="2638" w:type="dxa"/>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89" w:type="dxa"/>
            <w:tcBorders/>
            <w:shd w:fill="auto" w:val="clear"/>
          </w:tcPr>
          <w:p>
            <w:pPr>
              <w:pStyle w:val="Normal"/>
              <w:spacing w:lineRule="auto" w:line="240" w:before="0" w:after="0"/>
              <w:rPr>
                <w:rFonts w:ascii="Arial" w:hAnsi="Arial" w:cs="Arial"/>
              </w:rPr>
            </w:pPr>
            <w:r>
              <w:rPr>
                <w:rFonts w:cs="Arial" w:ascii="Arial" w:hAnsi="Arial"/>
              </w:rPr>
              <w:t xml:space="preserve">To work directly with Children, Young People and Families identified as requiring additional support to prevent unmet needs escalating. </w:t>
            </w:r>
          </w:p>
          <w:p>
            <w:pPr>
              <w:pStyle w:val="Normal"/>
              <w:spacing w:lineRule="auto" w:line="240" w:before="120" w:after="200"/>
              <w:rPr>
                <w:rFonts w:ascii="Arial" w:hAnsi="Arial" w:cs="Arial"/>
              </w:rPr>
            </w:pPr>
            <w:r>
              <w:rPr>
                <w:rFonts w:cs="Arial" w:ascii="Arial" w:hAnsi="Arial"/>
              </w:rPr>
              <w:t xml:space="preserve">To undertake Early Help Assessments and develop plans to support and deescalate need, ensuring that assessment and plans align to the Supporting Families outcomes framework.  </w:t>
            </w:r>
          </w:p>
          <w:p>
            <w:pPr>
              <w:pStyle w:val="Normal"/>
              <w:spacing w:lineRule="auto" w:line="240" w:before="120" w:after="200"/>
              <w:rPr>
                <w:rFonts w:ascii="Arial" w:hAnsi="Arial" w:cs="Arial"/>
              </w:rPr>
            </w:pPr>
            <w:r>
              <w:rPr>
                <w:rFonts w:cs="Arial" w:ascii="Arial" w:hAnsi="Arial"/>
              </w:rPr>
              <w:t xml:space="preserve">To provide coordinated Lead Professional support for Children, Young People and families.  </w:t>
            </w:r>
          </w:p>
          <w:p>
            <w:pPr>
              <w:pStyle w:val="Normal"/>
              <w:spacing w:lineRule="auto" w:line="240" w:before="120" w:after="200"/>
              <w:rPr>
                <w:rFonts w:ascii="Arial" w:hAnsi="Arial" w:cs="Arial"/>
              </w:rPr>
            </w:pPr>
            <w:r>
              <w:rPr>
                <w:rFonts w:cs="Arial" w:ascii="Arial" w:hAnsi="Arial"/>
              </w:rPr>
              <w:t xml:space="preserve">To work in partnership with other agencies to help prevent need and risk from escalating, supporting the evening and weekend offer to young people. </w:t>
            </w:r>
          </w:p>
          <w:p>
            <w:pPr>
              <w:pStyle w:val="Normal"/>
              <w:spacing w:lineRule="auto" w:line="240" w:before="120" w:after="200"/>
              <w:rPr>
                <w:rFonts w:ascii="Arial" w:hAnsi="Arial" w:cs="Arial"/>
              </w:rPr>
            </w:pPr>
            <w:r>
              <w:rPr>
                <w:rFonts w:cs="Arial" w:ascii="Arial" w:hAnsi="Arial"/>
              </w:rPr>
              <w:t xml:space="preserve">To provide one to one support to Children, Young People and Families, including within the family home.  </w:t>
            </w:r>
          </w:p>
          <w:p>
            <w:pPr>
              <w:pStyle w:val="Normal"/>
              <w:spacing w:lineRule="auto" w:line="240" w:before="120" w:after="200"/>
              <w:rPr>
                <w:rFonts w:ascii="Arial" w:hAnsi="Arial" w:cs="Arial"/>
              </w:rPr>
            </w:pPr>
            <w:r>
              <w:rPr>
                <w:rFonts w:cs="Arial" w:ascii="Arial" w:hAnsi="Arial"/>
              </w:rPr>
              <w:t xml:space="preserve">To provide effective interventions and support services to families.  </w:t>
            </w:r>
          </w:p>
          <w:p>
            <w:pPr>
              <w:pStyle w:val="Normal"/>
              <w:spacing w:lineRule="auto" w:line="240" w:before="120" w:after="200"/>
              <w:rPr>
                <w:rFonts w:ascii="Arial" w:hAnsi="Arial" w:cs="Arial"/>
              </w:rPr>
            </w:pPr>
            <w:r>
              <w:rPr>
                <w:rFonts w:cs="Arial" w:ascii="Arial" w:hAnsi="Arial"/>
              </w:rPr>
              <w:t>To deliver structured programmes of intervention as part of an evidence-based programme of delivery, including delivery to groups.</w:t>
            </w:r>
          </w:p>
        </w:tc>
      </w:tr>
      <w:tr>
        <w:trPr>
          <w:trHeight w:val="506" w:hRule="atLeast"/>
        </w:trPr>
        <w:tc>
          <w:tcPr>
            <w:tcW w:w="2638" w:type="dxa"/>
            <w:tcBorders/>
            <w:shd w:fill="auto" w:val="clear"/>
          </w:tcPr>
          <w:p>
            <w:pPr>
              <w:pStyle w:val="Normal"/>
              <w:spacing w:lineRule="auto" w:line="240" w:before="120" w:after="0"/>
              <w:rPr>
                <w:rFonts w:ascii="Arial" w:hAnsi="Arial" w:cs="Arial"/>
                <w:b/>
                <w:b/>
              </w:rPr>
            </w:pPr>
            <w:r>
              <w:rPr>
                <w:rFonts w:cs="Arial" w:ascii="Arial" w:hAnsi="Arial"/>
                <w:b/>
              </w:rPr>
              <w:t>Reporting To</w:t>
            </w:r>
          </w:p>
        </w:tc>
        <w:tc>
          <w:tcPr>
            <w:tcW w:w="6989" w:type="dxa"/>
            <w:tcBorders/>
            <w:shd w:fill="auto" w:val="clear"/>
          </w:tcPr>
          <w:p>
            <w:pPr>
              <w:pStyle w:val="Normal"/>
              <w:spacing w:lineRule="auto" w:line="240" w:before="120" w:after="0"/>
              <w:rPr>
                <w:rFonts w:ascii="Arial" w:hAnsi="Arial" w:cs="Arial"/>
              </w:rPr>
            </w:pPr>
            <w:r>
              <w:rPr>
                <w:rFonts w:cs="Arial" w:ascii="Arial" w:hAnsi="Arial"/>
              </w:rPr>
              <w:t>Team Manager</w:t>
            </w:r>
          </w:p>
        </w:tc>
      </w:tr>
      <w:tr>
        <w:trPr>
          <w:trHeight w:val="506" w:hRule="atLeast"/>
        </w:trPr>
        <w:tc>
          <w:tcPr>
            <w:tcW w:w="2638" w:type="dxa"/>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89" w:type="dxa"/>
            <w:tcBorders/>
            <w:shd w:fill="auto" w:val="clea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use variety of youth work methodologies to engage young people in the delivery of the programme, including work in the home, detached settings, youth centres, family hubs and in the community. This will include work with peers, siblings, parents and other family members as part of a whole family approach.</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 xml:space="preserve">Provide interventions and support, utilising the Early Help Assessment and Plan to coordinate services, support meeting the needs of young people and their families, and prevent needs from escalating, supporting families and young people to make sustainable changes. </w:t>
            </w:r>
          </w:p>
        </w:tc>
      </w:tr>
      <w:tr>
        <w:trPr>
          <w:trHeight w:val="860"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assess the impact of unmet need on Children and Young People, through the course of an Early Help Assessment, understanding why those issued may be present, and consider with the family appropriate time limited interventions to improve their lived experience.  As a Targeted Youth Support Worker you will create an open environment where families and young people feel supported to explore their difficulties, and empowered to find their own solutions.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jc w:val="both"/>
              <w:rPr/>
            </w:pPr>
            <w:r>
              <w:rPr>
                <w:rFonts w:cs="Arial" w:ascii="Arial" w:hAnsi="Arial"/>
              </w:rPr>
              <w:t>To act as lead professional and work in partnership with families and partner agencies to produce, implement and evaluate early help plans, using evidence-based interventions and coordinating support across a range of agencies.  Act as Lead Professional for a family, working alone and also as part of team, to arrange and coordinate ‘Team around the Family’ supportive meetings.</w:t>
            </w:r>
            <w:r>
              <w:rPr/>
              <w:t xml:space="preserve">    </w:t>
            </w:r>
          </w:p>
        </w:tc>
      </w:tr>
      <w:tr>
        <w:trPr>
          <w:trHeight w:val="950"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effectively engage with and build trusted relationships with Children, Young People and their Families to provide early support in partnership with service users, aligned to evidence-based youth work programmes.</w:t>
            </w:r>
          </w:p>
        </w:tc>
      </w:tr>
      <w:tr>
        <w:trPr>
          <w:trHeight w:val="851"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deliver a variety of interventions for young people aimed at preventing needs from escalating and improving outcomes, as part of a wider youth curriculum, empowering young people to make decisions that support them to realise their full potential.</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p>
            <w:pPr>
              <w:pStyle w:val="Normal"/>
              <w:spacing w:lineRule="auto" w:line="240" w:before="0" w:after="0"/>
              <w:rPr>
                <w:rFonts w:ascii="Arial" w:hAnsi="Arial" w:cs="Arial"/>
                <w:b/>
                <w:b/>
              </w:rPr>
            </w:pPr>
            <w:r>
              <w:rPr>
                <w:rFonts w:cs="Arial" w:ascii="Arial" w:hAnsi="Arial"/>
                <w:b/>
              </w:rPr>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 xml:space="preserve">To provide effective communication with colleagues, other professionals, agencies, organisations and volunteers to help the family and young people meet their needs. Ensuring professional boundaries are set and maintained.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jc w:val="both"/>
              <w:rPr/>
            </w:pPr>
            <w:r>
              <w:rPr>
                <w:rFonts w:cs="Arial" w:ascii="Arial" w:hAnsi="Arial"/>
              </w:rPr>
              <w:t>To communicate and work with a range of professionals and agencies ensuring a seamless targeted early help approach for families and young people, managing and providing information to support effective decision-making.  Including working closely with other youth settings.</w:t>
            </w:r>
            <w:r>
              <w:rPr/>
              <w:t xml:space="preserve">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jc w:val="both"/>
              <w:rPr/>
            </w:pPr>
            <w:r>
              <w:rPr>
                <w:rFonts w:eastAsia="Arial" w:cs="Arial" w:ascii="Arial" w:hAnsi="Arial"/>
              </w:rPr>
              <w:t xml:space="preserve"> </w:t>
            </w:r>
            <w:r>
              <w:rPr>
                <w:rFonts w:cs="Arial" w:ascii="Arial" w:hAnsi="Arial"/>
              </w:rPr>
              <w:t>To support young people in maintaining relationships in their wider social structures and environments, supporting sustainable changes and utilising the Family Network Meeting approach.</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maintain records describing the services and intervention used with service users and evaluating the outcome.  This will involve use of the Early Help Assessment process and use of relevant Management Information Systems (Liquid Logic).</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 xml:space="preserve">To work as part of the core team within the Family Hub and as part of the wider youth provision, developing a comprehensive knowledge of services and activities, provided by the various organisations and agencies across the Borough, to enable appropriate and effective signposting.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 xml:space="preserve">To provide help and support to young people and their families at a time that suits them best, offering flexible appointments which will predominantly include evening and weekends, delivering a targeted youth work based programme of support.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promote and monitor health, safety and security in the working environment.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manage the effective use and maintenance of equipment and resources.  Including opening and closing of buildings as required.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15</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undertake any other appropriate duties and responsibilities commensurate with the grade.</w:t>
            </w:r>
          </w:p>
        </w:tc>
      </w:tr>
      <w:tr>
        <w:trPr/>
        <w:tc>
          <w:tcPr>
            <w:tcW w:w="4572" w:type="dxa"/>
            <w:gridSpan w:val="2"/>
            <w:tcBorders/>
            <w:shd w:fill="auto" w:val="clear"/>
          </w:tcPr>
          <w:p>
            <w:pPr>
              <w:pStyle w:val="Normal"/>
              <w:spacing w:lineRule="auto" w:line="240" w:before="0" w:after="0"/>
              <w:jc w:val="both"/>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jc w:val="both"/>
              <w:rPr>
                <w:rFonts w:ascii="Arial" w:hAnsi="Arial" w:cs="Arial"/>
                <w:b/>
                <w:b/>
              </w:rPr>
            </w:pPr>
            <w:r>
              <w:rPr>
                <w:rFonts w:cs="Arial" w:ascii="Arial" w:hAnsi="Arial"/>
                <w:b/>
              </w:rPr>
              <w:t xml:space="preserve">Nov 2024 </w:t>
            </w:r>
          </w:p>
        </w:tc>
      </w:tr>
      <w:tr>
        <w:trPr/>
        <w:tc>
          <w:tcPr>
            <w:tcW w:w="4572" w:type="dxa"/>
            <w:gridSpan w:val="2"/>
            <w:tcBorders/>
            <w:shd w:fill="auto" w:val="clear"/>
          </w:tcPr>
          <w:p>
            <w:pPr>
              <w:pStyle w:val="Normal"/>
              <w:spacing w:lineRule="auto" w:line="240" w:before="0" w:after="0"/>
              <w:jc w:val="both"/>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jc w:val="both"/>
              <w:rPr>
                <w:rFonts w:ascii="Arial" w:hAnsi="Arial" w:cs="Arial"/>
                <w:b/>
                <w:b/>
              </w:rPr>
            </w:pPr>
            <w:r>
              <w:rPr>
                <w:rFonts w:cs="Arial" w:ascii="Arial" w:hAnsi="Arial"/>
                <w:b/>
              </w:rPr>
              <w:t>Nicola Murphy</w:t>
            </w:r>
          </w:p>
        </w:tc>
      </w:tr>
    </w:tbl>
    <w:p>
      <w:pPr>
        <w:pStyle w:val="Normal"/>
        <w:rPr/>
      </w:pPr>
      <w:r>
        <w:rPr/>
      </w:r>
    </w:p>
    <w:p>
      <w:pPr>
        <w:pStyle w:val="Normal"/>
        <w:rPr/>
      </w:pPr>
      <w:r>
        <w:rPr/>
      </w:r>
    </w:p>
    <w:p>
      <w:pPr>
        <w:pStyle w:val="Normal"/>
        <w:spacing w:lineRule="auto" w:line="256" w:before="0" w:after="160"/>
        <w:rPr/>
      </w:pPr>
      <w:r>
        <w:rPr/>
      </w:r>
      <w:r>
        <w:br w:type="page"/>
      </w:r>
    </w:p>
    <w:p>
      <w:pPr>
        <w:pStyle w:val="Normal"/>
        <w:rPr/>
      </w:pPr>
      <w:r>
        <w:rPr/>
        <w:drawing>
          <wp:anchor behindDoc="0" distT="0" distB="0" distL="0" distR="0" simplePos="0" locked="0" layoutInCell="1" allowOverlap="1" relativeHeight="10">
            <wp:simplePos x="0" y="0"/>
            <wp:positionH relativeFrom="column">
              <wp:posOffset>4547235</wp:posOffset>
            </wp:positionH>
            <wp:positionV relativeFrom="paragraph">
              <wp:posOffset>-360680</wp:posOffset>
            </wp:positionV>
            <wp:extent cx="1904365" cy="837565"/>
            <wp:effectExtent l="0" t="0" r="0" b="0"/>
            <wp:wrapNone/>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19" t="-43" r="-19" b="-43"/>
                    <a:stretch>
                      <a:fillRect/>
                    </a:stretch>
                  </pic:blipFill>
                  <pic:spPr bwMode="auto">
                    <a:xfrm>
                      <a:off x="0" y="0"/>
                      <a:ext cx="1904365" cy="837565"/>
                    </a:xfrm>
                    <a:prstGeom prst="rect">
                      <a:avLst/>
                    </a:prstGeom>
                  </pic:spPr>
                </pic:pic>
              </a:graphicData>
            </a:graphic>
          </wp:anchor>
        </w:drawing>
      </w:r>
    </w:p>
    <w:p>
      <w:pPr>
        <w:pStyle w:val="Normal"/>
        <w:rPr>
          <w:rFonts w:ascii="Arial" w:hAnsi="Arial" w:cs="Arial"/>
          <w:b/>
          <w:b/>
        </w:rPr>
      </w:pPr>
      <w:r>
        <w:rPr/>
        <w:drawing>
          <wp:inline distT="0" distB="0" distL="0" distR="0">
            <wp:extent cx="3692525" cy="513715"/>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12" t="-84" r="-12" b="-84"/>
                    <a:stretch>
                      <a:fillRect/>
                    </a:stretch>
                  </pic:blipFill>
                  <pic:spPr bwMode="auto">
                    <a:xfrm>
                      <a:off x="0" y="0"/>
                      <a:ext cx="3692525" cy="513715"/>
                    </a:xfrm>
                    <a:prstGeom prst="rect">
                      <a:avLst/>
                    </a:prstGeom>
                  </pic:spPr>
                </pic:pic>
              </a:graphicData>
            </a:graphic>
          </wp:inline>
        </w:drawing>
      </w:r>
    </w:p>
    <w:tbl>
      <w:tblPr>
        <w:tblW w:w="10075" w:type="dxa"/>
        <w:jc w:val="left"/>
        <w:tblInd w:w="0" w:type="dxa"/>
        <w:tblCellMar>
          <w:top w:w="0" w:type="dxa"/>
          <w:left w:w="108" w:type="dxa"/>
          <w:bottom w:w="0" w:type="dxa"/>
          <w:right w:w="108" w:type="dxa"/>
        </w:tblCellMar>
      </w:tblPr>
      <w:tblGrid>
        <w:gridCol w:w="566"/>
        <w:gridCol w:w="1101"/>
        <w:gridCol w:w="5562"/>
        <w:gridCol w:w="2836"/>
        <w:gridCol w:w="10"/>
      </w:tblGrid>
      <w:tr>
        <w:trPr/>
        <w:tc>
          <w:tcPr>
            <w:tcW w:w="1667" w:type="dxa"/>
            <w:gridSpan w:val="2"/>
            <w:tcBorders/>
            <w:shd w:fill="auto" w:val="clear"/>
          </w:tcPr>
          <w:p>
            <w:pPr>
              <w:pStyle w:val="Normal"/>
              <w:spacing w:before="60" w:after="60"/>
              <w:rPr>
                <w:rFonts w:ascii="Arial" w:hAnsi="Arial" w:cs="Arial"/>
                <w:b/>
                <w:b/>
              </w:rPr>
            </w:pPr>
            <w:r>
              <w:rPr>
                <w:rFonts w:cs="Arial" w:ascii="Arial" w:hAnsi="Arial"/>
                <w:b/>
              </w:rPr>
              <w:t>Department</w:t>
            </w:r>
          </w:p>
        </w:tc>
        <w:tc>
          <w:tcPr>
            <w:tcW w:w="8398" w:type="dxa"/>
            <w:gridSpan w:val="2"/>
            <w:tcBorders/>
            <w:shd w:fill="auto" w:val="clear"/>
          </w:tcPr>
          <w:p>
            <w:pPr>
              <w:pStyle w:val="Normal"/>
              <w:spacing w:before="60" w:after="60"/>
              <w:rPr>
                <w:rFonts w:ascii="Arial" w:hAnsi="Arial" w:cs="Arial"/>
                <w:b/>
                <w:b/>
                <w:caps/>
              </w:rPr>
            </w:pPr>
            <w:r>
              <w:rPr>
                <w:rFonts w:cs="Arial" w:ascii="Arial" w:hAnsi="Arial"/>
                <w:b/>
                <w:caps/>
              </w:rPr>
              <w:t>CHILDREN’S SERVICES</w:t>
            </w:r>
          </w:p>
        </w:tc>
      </w:tr>
      <w:tr>
        <w:trPr/>
        <w:tc>
          <w:tcPr>
            <w:tcW w:w="1667" w:type="dxa"/>
            <w:gridSpan w:val="2"/>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398" w:type="dxa"/>
            <w:gridSpan w:val="2"/>
            <w:tcBorders>
              <w:bottom w:val="single" w:sz="4" w:space="0" w:color="000000"/>
            </w:tcBorders>
            <w:shd w:fill="auto" w:val="clear"/>
          </w:tcPr>
          <w:p>
            <w:pPr>
              <w:pStyle w:val="Normal"/>
              <w:spacing w:before="60" w:after="60"/>
              <w:rPr>
                <w:rFonts w:ascii="Arial" w:hAnsi="Arial" w:cs="Arial"/>
              </w:rPr>
            </w:pPr>
            <w:r>
              <w:rPr>
                <w:rFonts w:cs="Arial" w:ascii="Arial" w:hAnsi="Arial"/>
              </w:rPr>
              <w:t>TARGETED YOUTH SUPPORT WORKER (FAMILY HELP)</w:t>
            </w:r>
          </w:p>
        </w:tc>
      </w:tr>
      <w:tr>
        <w:trPr/>
        <w:tc>
          <w:tcPr>
            <w:tcW w:w="1667" w:type="dxa"/>
            <w:gridSpan w:val="2"/>
            <w:tcBorders>
              <w:top w:val="single" w:sz="4" w:space="0" w:color="000000"/>
              <w:left w:val="single" w:sz="4" w:space="0" w:color="000000"/>
              <w:bottom w:val="single" w:sz="4" w:space="0" w:color="000000"/>
            </w:tcBorders>
            <w:shd w:fill="auto" w:val="clear"/>
          </w:tcPr>
          <w:p>
            <w:pPr>
              <w:pStyle w:val="Normal"/>
              <w:spacing w:before="60" w:after="240"/>
              <w:rPr>
                <w:rFonts w:ascii="Arial" w:hAnsi="Arial" w:cs="Arial"/>
                <w:b/>
                <w:b/>
              </w:rPr>
            </w:pPr>
            <w:r>
              <w:rPr>
                <w:rFonts w:cs="Arial" w:ascii="Arial" w:hAnsi="Arial"/>
                <w:b/>
              </w:rPr>
              <w:t>Stage One</w:t>
            </w:r>
          </w:p>
        </w:tc>
        <w:tc>
          <w:tcPr>
            <w:tcW w:w="84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are guaranteed an interview if they meet the essential criteria for the role.</w:t>
            </w:r>
          </w:p>
        </w:tc>
      </w:tr>
      <w:tr>
        <w:trPr/>
        <w:tc>
          <w:tcPr>
            <w:tcW w:w="7229" w:type="dxa"/>
            <w:gridSpan w:val="3"/>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2846"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566" w:type="dxa"/>
            <w:tcBorders>
              <w:left w:val="single" w:sz="4" w:space="0" w:color="000000"/>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509" w:type="dxa"/>
            <w:gridSpan w:val="3"/>
            <w:tcBorders>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566"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6663"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 xml:space="preserve">To demonstrate an understanding of youth work based early intervention and Team Around the Family approaches and demonstrate skills you would use to organise and manage a family and multiagency meeting.  </w:t>
            </w:r>
          </w:p>
        </w:tc>
        <w:tc>
          <w:tcPr>
            <w:tcW w:w="284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Application/Interview</w:t>
            </w:r>
          </w:p>
        </w:tc>
      </w:tr>
      <w:tr>
        <w:trPr>
          <w:cantSplit w:val="true"/>
        </w:trPr>
        <w:tc>
          <w:tcPr>
            <w:tcW w:w="566"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6663"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 xml:space="preserve">To demonstrate an understanding of Child Protection procedures and have the ability to respond to and act upon your own and other people’s suspicion/disclosure of risk of significant harm and abuse. </w:t>
            </w:r>
          </w:p>
        </w:tc>
        <w:tc>
          <w:tcPr>
            <w:tcW w:w="284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Application/Interview </w:t>
            </w:r>
          </w:p>
        </w:tc>
      </w:tr>
      <w:tr>
        <w:trPr>
          <w:cantSplit w:val="true"/>
        </w:trPr>
        <w:tc>
          <w:tcPr>
            <w:tcW w:w="566"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6663"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demonstrate knowledge and understanding of key legislation and national drivers such as Stable Homes Built on Love, Children and Families Act 2014, Working Together 2023 and other relevant guidance.</w:t>
            </w:r>
          </w:p>
        </w:tc>
        <w:tc>
          <w:tcPr>
            <w:tcW w:w="284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Interview </w:t>
            </w:r>
          </w:p>
        </w:tc>
      </w:tr>
      <w:tr>
        <w:trPr>
          <w:cantSplit w:val="true"/>
        </w:trPr>
        <w:tc>
          <w:tcPr>
            <w:tcW w:w="566"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6663"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Have an applied understanding of targeted youth support work including solution focussed interventions and restorative practice to support empowering approaches, within a family context.</w:t>
            </w:r>
          </w:p>
        </w:tc>
        <w:tc>
          <w:tcPr>
            <w:tcW w:w="284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Application/Interview </w:t>
            </w:r>
          </w:p>
        </w:tc>
      </w:tr>
      <w:tr>
        <w:trPr>
          <w:cantSplit w:val="true"/>
        </w:trPr>
        <w:tc>
          <w:tcPr>
            <w:tcW w:w="566"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6663"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 xml:space="preserve">Ability to assess unmet need for Children and Young People within the wider family context, and to effectively analyse the assessment in order to formulate an effective plan of intervention.  </w:t>
            </w:r>
          </w:p>
        </w:tc>
        <w:tc>
          <w:tcPr>
            <w:tcW w:w="2846"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Application/Interview</w:t>
            </w:r>
          </w:p>
        </w:tc>
      </w:tr>
      <w:tr>
        <w:trPr>
          <w:cantSplit w:val="true"/>
        </w:trPr>
        <w:tc>
          <w:tcPr>
            <w:tcW w:w="566"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6663"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 xml:space="preserve">To be able to challenge behaviour in supportive and non-judgemental way, using restorative approaches.  </w:t>
            </w:r>
          </w:p>
        </w:tc>
        <w:tc>
          <w:tcPr>
            <w:tcW w:w="2846"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Application/Interview </w:t>
            </w:r>
          </w:p>
        </w:tc>
      </w:tr>
      <w:tr>
        <w:trPr>
          <w:cantSplit w:val="true"/>
        </w:trPr>
        <w:tc>
          <w:tcPr>
            <w:tcW w:w="566"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7.</w:t>
            </w:r>
          </w:p>
        </w:tc>
        <w:tc>
          <w:tcPr>
            <w:tcW w:w="6663"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develop and sustain effective relationships with young people, parents, carers and colleagues in other agencies, sharing information and communicating effectively on difficult and sensitive issues.</w:t>
            </w:r>
          </w:p>
        </w:tc>
        <w:tc>
          <w:tcPr>
            <w:tcW w:w="2846"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Application/Interview </w:t>
            </w:r>
          </w:p>
        </w:tc>
      </w:tr>
      <w:tr>
        <w:trPr>
          <w:cantSplit w:val="true"/>
        </w:trPr>
        <w:tc>
          <w:tcPr>
            <w:tcW w:w="566"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8.</w:t>
            </w:r>
          </w:p>
        </w:tc>
        <w:tc>
          <w:tcPr>
            <w:tcW w:w="6663"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 xml:space="preserve">To have an understanding of multidisciplinary team working to support children, young people and families, including effective joint working approaches to early help.   </w:t>
            </w:r>
          </w:p>
        </w:tc>
        <w:tc>
          <w:tcPr>
            <w:tcW w:w="2846"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Application/Interview </w:t>
            </w:r>
          </w:p>
        </w:tc>
      </w:tr>
      <w:tr>
        <w:trPr>
          <w:cantSplit w:val="true"/>
        </w:trPr>
        <w:tc>
          <w:tcPr>
            <w:tcW w:w="566"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9.</w:t>
            </w:r>
          </w:p>
        </w:tc>
        <w:tc>
          <w:tcPr>
            <w:tcW w:w="6663"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accept responsibility for your own work and its delivery, improve your own performance and behave in a way that encourages effective working.</w:t>
            </w:r>
          </w:p>
        </w:tc>
        <w:tc>
          <w:tcPr>
            <w:tcW w:w="2846"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566"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10.</w:t>
            </w:r>
          </w:p>
        </w:tc>
        <w:tc>
          <w:tcPr>
            <w:tcW w:w="6663"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work as part of a multi-agency team and under own supervision using initiative</w:t>
            </w:r>
          </w:p>
        </w:tc>
        <w:tc>
          <w:tcPr>
            <w:tcW w:w="2846"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Interview </w:t>
            </w:r>
          </w:p>
        </w:tc>
      </w:tr>
      <w:tr>
        <w:trPr>
          <w:cantSplit w:val="true"/>
        </w:trPr>
        <w:tc>
          <w:tcPr>
            <w:tcW w:w="566"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11.</w:t>
            </w:r>
          </w:p>
        </w:tc>
        <w:tc>
          <w:tcPr>
            <w:tcW w:w="6663"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communicate both verbally and in writing with all service users, and a demonstratable ability to communicate effectively with young people, both individually and in a group setting.</w:t>
            </w:r>
          </w:p>
        </w:tc>
        <w:tc>
          <w:tcPr>
            <w:tcW w:w="2846"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Application/Interview </w:t>
            </w:r>
          </w:p>
        </w:tc>
      </w:tr>
      <w:tr>
        <w:trPr>
          <w:cantSplit w:val="true"/>
        </w:trPr>
        <w:tc>
          <w:tcPr>
            <w:tcW w:w="566"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12.</w:t>
            </w:r>
          </w:p>
        </w:tc>
        <w:tc>
          <w:tcPr>
            <w:tcW w:w="6663"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effectively network and use various agencies within the community, to support families to utilise their services.</w:t>
            </w:r>
          </w:p>
        </w:tc>
        <w:tc>
          <w:tcPr>
            <w:tcW w:w="2846"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Interview </w:t>
            </w:r>
          </w:p>
        </w:tc>
      </w:tr>
      <w:tr>
        <w:trPr>
          <w:cantSplit w:val="true"/>
        </w:trPr>
        <w:tc>
          <w:tcPr>
            <w:tcW w:w="566"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13.</w:t>
            </w:r>
          </w:p>
        </w:tc>
        <w:tc>
          <w:tcPr>
            <w:tcW w:w="6663"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access and accurately update daily records and obtain, record and analyse information.</w:t>
            </w:r>
          </w:p>
        </w:tc>
        <w:tc>
          <w:tcPr>
            <w:tcW w:w="2846"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Application </w:t>
            </w:r>
          </w:p>
        </w:tc>
      </w:tr>
      <w:tr>
        <w:trPr>
          <w:cantSplit w:val="true"/>
        </w:trPr>
        <w:tc>
          <w:tcPr>
            <w:tcW w:w="566"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14.</w:t>
            </w:r>
          </w:p>
        </w:tc>
        <w:tc>
          <w:tcPr>
            <w:tcW w:w="6663"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Demonstrate effective organisational skills, with the ability to plan, develop and prioritise work in order to meet deadlines and changes in priority</w:t>
            </w:r>
          </w:p>
        </w:tc>
        <w:tc>
          <w:tcPr>
            <w:tcW w:w="2846"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Interview </w:t>
            </w:r>
          </w:p>
        </w:tc>
      </w:tr>
      <w:tr>
        <w:trPr>
          <w:cantSplit w:val="true"/>
        </w:trPr>
        <w:tc>
          <w:tcPr>
            <w:tcW w:w="566" w:type="dxa"/>
            <w:tcBorders>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15.</w:t>
            </w:r>
          </w:p>
        </w:tc>
        <w:tc>
          <w:tcPr>
            <w:tcW w:w="6663" w:type="dxa"/>
            <w:gridSpan w:val="2"/>
            <w:tcBorders>
              <w:bottom w:val="single" w:sz="4" w:space="0" w:color="000000"/>
            </w:tcBorders>
            <w:shd w:fill="auto" w:val="clear"/>
          </w:tcPr>
          <w:p>
            <w:pPr>
              <w:pStyle w:val="Normal"/>
              <w:spacing w:before="120" w:after="120"/>
              <w:ind w:left="0" w:right="175" w:hanging="0"/>
              <w:rPr/>
            </w:pPr>
            <w:r>
              <w:rPr>
                <w:rFonts w:cs="Arial" w:ascii="Arial" w:hAnsi="Arial"/>
                <w:b/>
              </w:rPr>
              <w:t>Competencies</w:t>
            </w:r>
            <w:r>
              <w:rPr>
                <w:rFonts w:cs="Arial" w:ascii="Arial" w:hAnsi="Arial"/>
              </w:rPr>
              <w:t xml:space="preserve"> – Please note the council’s corporate competencies, which are considered to be essential for all roles, are in the attached CORE COMPETENCIES document</w:t>
            </w:r>
          </w:p>
        </w:tc>
        <w:tc>
          <w:tcPr>
            <w:tcW w:w="2846" w:type="dxa"/>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bl>
    <w:p>
      <w:pPr>
        <w:pStyle w:val="Normal"/>
        <w:rPr/>
      </w:pPr>
      <w:r>
        <w:rPr/>
      </w:r>
    </w:p>
    <w:tbl>
      <w:tblPr>
        <w:tblW w:w="10070" w:type="dxa"/>
        <w:jc w:val="left"/>
        <w:tblInd w:w="0" w:type="dxa"/>
        <w:tblCellMar>
          <w:top w:w="0" w:type="dxa"/>
          <w:left w:w="108" w:type="dxa"/>
          <w:bottom w:w="0" w:type="dxa"/>
          <w:right w:w="108" w:type="dxa"/>
        </w:tblCellMar>
      </w:tblPr>
      <w:tblGrid>
        <w:gridCol w:w="561"/>
        <w:gridCol w:w="6664"/>
        <w:gridCol w:w="2845"/>
      </w:tblGrid>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6664"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Relevant JNC level 3 </w:t>
            </w:r>
            <w:commentRangeStart w:id="0"/>
            <w:r>
              <w:rPr>
                <w:rFonts w:cs="Arial" w:ascii="Arial" w:hAnsi="Arial"/>
              </w:rPr>
              <w:t>qualification or above in Youth Work Practice, Youth and Community Work</w:t>
            </w:r>
            <w:commentRangeEnd w:id="0"/>
            <w:r>
              <w:commentReference w:id="0"/>
            </w:r>
            <w:r>
              <w:rPr>
                <w:rFonts w:cs="Arial" w:ascii="Arial" w:hAnsi="Arial"/>
                <w:vanish w:val="false"/>
              </w:rPr>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Application </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6664"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Experience of working with young people and families within early help and/or youth work setting.    </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Application </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6664"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Experience of working in a multi-agency environment or integrated team.</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Interview </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6664"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Experience of supporting families and young people to access support and services within the community.  </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Interview </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6664"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Knowledge of relevant legislation and processes and national drivers for Family and Early Help, and Youth Work.  </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Application </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6664"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Working knowledge of evidence based youth work programmes of support or willingness to train.</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Application and Interview </w:t>
            </w:r>
          </w:p>
        </w:tc>
      </w:tr>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napToGrid w:val="false"/>
              <w:spacing w:before="60" w:after="60"/>
              <w:rPr>
                <w:rFonts w:ascii="Arial" w:hAnsi="Arial" w:cs="Arial"/>
                <w:b/>
                <w:b/>
              </w:rPr>
            </w:pPr>
            <w:r>
              <w:rPr>
                <w:rFonts w:cs="Arial" w:ascii="Arial" w:hAnsi="Arial"/>
                <w:b/>
              </w:rPr>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6664"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2. </w:t>
            </w:r>
          </w:p>
        </w:tc>
        <w:tc>
          <w:tcPr>
            <w:tcW w:w="6664"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 xml:space="preserve">Interview </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6664"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will predominantly require working outside of normal office hours.  The post holder must be willing and able to work regular evenings and weekends.</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3. </w:t>
            </w:r>
          </w:p>
        </w:tc>
        <w:tc>
          <w:tcPr>
            <w:tcW w:w="6664"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is subject to an enhanced disclosure from the Disclosure &amp; Barring Service with check of relevant barred list(s)</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Satisfactory DBS Disclosure</w:t>
            </w:r>
          </w:p>
        </w:tc>
      </w:tr>
      <w:tr>
        <w:trPr>
          <w:cantSplit w:val="true"/>
        </w:trPr>
        <w:tc>
          <w:tcPr>
            <w:tcW w:w="561"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6664"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has been designated an essential car user post. Applicants must hold a full, current and valid driving licence and a vehicle with a current valid MOT certificate. There must also be adequate vehicle insurance cover to comply with the council’s requirements, in line with the Travel Costs Reimbursement Policy</w:t>
            </w:r>
          </w:p>
        </w:tc>
        <w:tc>
          <w:tcPr>
            <w:tcW w:w="28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bl>
    <w:p>
      <w:pPr>
        <w:pStyle w:val="Normal"/>
        <w:rPr/>
      </w:pPr>
      <w:r>
        <w:rPr/>
      </w:r>
    </w:p>
    <w:p>
      <w:pPr>
        <w:pStyle w:val="Normal"/>
        <w:rPr/>
      </w:pPr>
      <w:r>
        <w:rPr/>
      </w:r>
    </w:p>
    <w:tbl>
      <w:tblPr>
        <w:tblW w:w="9638" w:type="dxa"/>
        <w:jc w:val="left"/>
        <w:tblInd w:w="0" w:type="dxa"/>
        <w:tblCellMar>
          <w:top w:w="0" w:type="dxa"/>
          <w:left w:w="108" w:type="dxa"/>
          <w:bottom w:w="0" w:type="dxa"/>
          <w:right w:w="108" w:type="dxa"/>
        </w:tblCellMar>
      </w:tblPr>
      <w:tblGrid>
        <w:gridCol w:w="537"/>
        <w:gridCol w:w="1194"/>
        <w:gridCol w:w="4081"/>
        <w:gridCol w:w="1102"/>
        <w:gridCol w:w="2714"/>
        <w:gridCol w:w="10"/>
      </w:tblGrid>
      <w:tr>
        <w:trPr>
          <w:trHeight w:val="653" w:hRule="atLeast"/>
        </w:trPr>
        <w:tc>
          <w:tcPr>
            <w:tcW w:w="173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914" w:type="dxa"/>
            <w:gridSpan w:val="4"/>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2724"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537"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6377"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Skills or knowledge in relation to group work planning and delivery in line with a youth work curriculum.  </w:t>
            </w:r>
          </w:p>
        </w:tc>
        <w:tc>
          <w:tcPr>
            <w:tcW w:w="2714"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537"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6377"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Relevant JNC level 3 qualification in, Youth and Community Work, Youth Work Practice or above (for example, JNC Professional Youth Worker (Level 6)</w:t>
            </w:r>
          </w:p>
        </w:tc>
        <w:tc>
          <w:tcPr>
            <w:tcW w:w="2714"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537"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6377"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Experience of delivering detached youth work/community engagement programmes.    </w:t>
            </w:r>
          </w:p>
        </w:tc>
        <w:tc>
          <w:tcPr>
            <w:tcW w:w="2714"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537"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6377"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Evidence of ongoing professional development relevant to the practice area </w:t>
            </w:r>
          </w:p>
        </w:tc>
        <w:tc>
          <w:tcPr>
            <w:tcW w:w="2714"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c>
          <w:tcPr>
            <w:tcW w:w="5812" w:type="dxa"/>
            <w:gridSpan w:val="3"/>
            <w:tcBorders/>
            <w:shd w:fill="auto" w:val="clear"/>
          </w:tcPr>
          <w:p>
            <w:pPr>
              <w:pStyle w:val="Normal"/>
              <w:spacing w:lineRule="auto" w:line="240" w:before="120" w:after="200"/>
              <w:rPr>
                <w:rFonts w:ascii="Arial" w:hAnsi="Arial" w:cs="Arial"/>
                <w:b/>
                <w:b/>
              </w:rPr>
            </w:pPr>
            <w:r>
              <w:rPr>
                <w:rFonts w:cs="Arial" w:ascii="Arial" w:hAnsi="Arial"/>
                <w:b/>
              </w:rPr>
              <w:t>Date Person Specification prepared/updated</w:t>
            </w:r>
          </w:p>
        </w:tc>
        <w:tc>
          <w:tcPr>
            <w:tcW w:w="3816" w:type="dxa"/>
            <w:gridSpan w:val="2"/>
            <w:tcBorders/>
            <w:shd w:fill="auto" w:val="clear"/>
          </w:tcPr>
          <w:p>
            <w:pPr>
              <w:pStyle w:val="Normal"/>
              <w:spacing w:lineRule="auto" w:line="240" w:before="120" w:after="200"/>
              <w:rPr>
                <w:rFonts w:ascii="Arial" w:hAnsi="Arial" w:cs="Arial"/>
                <w:b/>
                <w:b/>
              </w:rPr>
            </w:pPr>
            <w:r>
              <w:rPr>
                <w:rFonts w:cs="Arial" w:ascii="Arial" w:hAnsi="Arial"/>
                <w:b/>
              </w:rPr>
              <w:t>Nov 2024</w:t>
            </w:r>
          </w:p>
        </w:tc>
      </w:tr>
      <w:tr>
        <w:trPr/>
        <w:tc>
          <w:tcPr>
            <w:tcW w:w="5812" w:type="dxa"/>
            <w:gridSpan w:val="3"/>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2"/>
            <w:tcBorders/>
            <w:shd w:fill="auto" w:val="clear"/>
          </w:tcPr>
          <w:p>
            <w:pPr>
              <w:pStyle w:val="Normal"/>
              <w:spacing w:lineRule="auto" w:line="240" w:before="0" w:after="0"/>
              <w:rPr>
                <w:rFonts w:ascii="Arial" w:hAnsi="Arial" w:cs="Arial"/>
                <w:b/>
                <w:b/>
              </w:rPr>
            </w:pPr>
            <w:r>
              <w:rPr>
                <w:rFonts w:cs="Arial" w:ascii="Arial" w:hAnsi="Arial"/>
                <w:b/>
              </w:rPr>
              <w:t xml:space="preserve">Nicola Murphy </w:t>
            </w:r>
          </w:p>
        </w:tc>
      </w:tr>
    </w:tbl>
    <w:p>
      <w:pPr>
        <w:pStyle w:val="Normal"/>
        <w:spacing w:lineRule="auto" w:line="240" w:before="0" w:after="0"/>
        <w:rPr>
          <w:rFonts w:ascii="Arial" w:hAnsi="Arial" w:cs="Arial"/>
          <w:b/>
          <w:b/>
        </w:rPr>
      </w:pPr>
      <w:r>
        <w:rPr>
          <w:rFonts w:cs="Arial" w:ascii="Arial" w:hAnsi="Arial"/>
          <w:b/>
        </w:rPr>
      </w:r>
    </w:p>
    <w:p>
      <w:pPr>
        <w:pStyle w:val="Normal"/>
        <w:spacing w:lineRule="auto" w:line="256" w:before="0" w:after="160"/>
        <w:rPr>
          <w:rFonts w:ascii="Arial" w:hAnsi="Arial" w:cs="Arial"/>
          <w:b/>
          <w:b/>
        </w:rPr>
      </w:pPr>
      <w:r>
        <w:rPr>
          <w:rFonts w:cs="Arial" w:ascii="Arial" w:hAnsi="Arial"/>
          <w:b/>
        </w:rPr>
      </w:r>
      <w:r>
        <w:br w:type="page"/>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6122035" cy="1628140"/>
            <wp:effectExtent l="0" t="0" r="0" b="0"/>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6"/>
                    <a:srcRect l="-4" t="-14" r="-4" b="-14"/>
                    <a:stretch>
                      <a:fillRect/>
                    </a:stretch>
                  </pic:blipFill>
                  <pic:spPr bwMode="auto">
                    <a:xfrm>
                      <a:off x="0" y="0"/>
                      <a:ext cx="6122035" cy="1628140"/>
                    </a:xfrm>
                    <a:prstGeom prst="rect">
                      <a:avLst/>
                    </a:prstGeom>
                  </pic:spPr>
                </pic:pic>
              </a:graphicData>
            </a:graphic>
          </wp:inline>
        </w:drawing>
      </w:r>
    </w:p>
    <w:p>
      <w:pPr>
        <w:pStyle w:val="Normal"/>
        <w:rPr/>
      </w:pPr>
      <w:r>
        <w:rPr/>
        <w:drawing>
          <wp:inline distT="0" distB="0" distL="0" distR="0">
            <wp:extent cx="6118225" cy="1684655"/>
            <wp:effectExtent l="0" t="0" r="0" b="0"/>
            <wp:docPr id="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pic:cNvPicPr>
                      <a:picLocks noChangeAspect="1" noChangeArrowheads="1"/>
                    </pic:cNvPicPr>
                  </pic:nvPicPr>
                  <pic:blipFill>
                    <a:blip r:embed="rId7"/>
                    <a:srcRect l="-4" t="-13" r="-4" b="-13"/>
                    <a:stretch>
                      <a:fillRect/>
                    </a:stretch>
                  </pic:blipFill>
                  <pic:spPr bwMode="auto">
                    <a:xfrm>
                      <a:off x="0" y="0"/>
                      <a:ext cx="6118225" cy="1684655"/>
                    </a:xfrm>
                    <a:prstGeom prst="rect">
                      <a:avLst/>
                    </a:prstGeom>
                  </pic:spPr>
                </pic:pic>
              </a:graphicData>
            </a:graphic>
          </wp:inline>
        </w:drawing>
      </w:r>
      <w:r>
        <w:rPr/>
        <w:drawing>
          <wp:inline distT="0" distB="0" distL="0" distR="0">
            <wp:extent cx="6117590" cy="1514475"/>
            <wp:effectExtent l="0" t="0" r="0" b="0"/>
            <wp:docPr id="1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pic:cNvPicPr>
                      <a:picLocks noChangeAspect="1" noChangeArrowheads="1"/>
                    </pic:cNvPicPr>
                  </pic:nvPicPr>
                  <pic:blipFill>
                    <a:blip r:embed="rId8"/>
                    <a:srcRect l="-4" t="-15" r="-4" b="-15"/>
                    <a:stretch>
                      <a:fillRect/>
                    </a:stretch>
                  </pic:blipFill>
                  <pic:spPr bwMode="auto">
                    <a:xfrm>
                      <a:off x="0" y="0"/>
                      <a:ext cx="6117590" cy="1514475"/>
                    </a:xfrm>
                    <a:prstGeom prst="rect">
                      <a:avLst/>
                    </a:prstGeom>
                  </pic:spPr>
                </pic:pic>
              </a:graphicData>
            </a:graphic>
          </wp:inline>
        </w:drawing>
      </w:r>
      <w:r>
        <w:rPr/>
        <w:drawing>
          <wp:inline distT="0" distB="0" distL="0" distR="0">
            <wp:extent cx="6120130" cy="1304290"/>
            <wp:effectExtent l="0" t="0" r="0" b="0"/>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9"/>
                    <a:srcRect l="-4" t="-15" r="-4" b="-15"/>
                    <a:stretch>
                      <a:fillRect/>
                    </a:stretch>
                  </pic:blipFill>
                  <pic:spPr bwMode="auto">
                    <a:xfrm>
                      <a:off x="0" y="0"/>
                      <a:ext cx="6120130" cy="1304290"/>
                    </a:xfrm>
                    <a:prstGeom prst="rect">
                      <a:avLst/>
                    </a:prstGeom>
                  </pic:spPr>
                </pic:pic>
              </a:graphicData>
            </a:graphic>
          </wp:inline>
        </w:drawing>
      </w:r>
    </w:p>
    <w:p>
      <w:pPr>
        <w:pStyle w:val="Normal"/>
        <w:rPr/>
      </w:pPr>
      <w:r>
        <w:rPr/>
        <w:drawing>
          <wp:inline distT="0" distB="0" distL="0" distR="0">
            <wp:extent cx="6120765" cy="1504950"/>
            <wp:effectExtent l="0" t="0" r="0" b="0"/>
            <wp:docPr id="12"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 descr=""/>
                    <pic:cNvPicPr>
                      <a:picLocks noChangeAspect="1" noChangeArrowheads="1"/>
                    </pic:cNvPicPr>
                  </pic:nvPicPr>
                  <pic:blipFill>
                    <a:blip r:embed="rId10"/>
                    <a:srcRect l="-6" t="-19" r="-6" b="-19"/>
                    <a:stretch>
                      <a:fillRect/>
                    </a:stretch>
                  </pic:blipFill>
                  <pic:spPr bwMode="auto">
                    <a:xfrm>
                      <a:off x="0" y="0"/>
                      <a:ext cx="6120765" cy="1504950"/>
                    </a:xfrm>
                    <a:prstGeom prst="rect">
                      <a:avLst/>
                    </a:prstGeom>
                  </pic:spPr>
                </pic:pic>
              </a:graphicData>
            </a:graphic>
          </wp:inline>
        </w:drawing>
      </w:r>
    </w:p>
    <w:p>
      <w:pPr>
        <w:pStyle w:val="Normal"/>
        <w:widowControl/>
        <w:bidi w:val="0"/>
        <w:spacing w:lineRule="auto" w:line="276" w:before="0" w:after="200"/>
        <w:jc w:val="left"/>
        <w:rPr/>
      </w:pPr>
      <w:r>
        <w:rPr/>
      </w:r>
    </w:p>
    <w:sectPr>
      <w:footerReference w:type="default" r:id="rId11"/>
      <w:type w:val="nextPage"/>
      <w:pgSz w:w="11906" w:h="16838"/>
      <w:pgMar w:left="1134" w:right="1134" w:header="0" w:top="1361" w:footer="709" w:bottom="1134" w:gutter="0"/>
      <w:pgNumType w:fmt="decimal"/>
      <w:formProt w:val="false"/>
      <w:textDirection w:val="lrTb"/>
      <w:docGrid w:type="default" w:linePitch="36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Murphy, Nicola" w:date="2024-05-28T14:48:00Z" w:initials="NM">
    <w:p>
      <w:r>
        <w:rPr>
          <w:rFonts w:ascii="Liberation Serif;Times New Roman" w:hAnsi="Liberation Serif;Times New Roman" w:eastAsia="Segoe UI" w:cs="Tahoma"/>
          <w:color w:val="auto"/>
          <w:kern w:val="0"/>
          <w:sz w:val="24"/>
          <w:szCs w:val="24"/>
          <w:lang w:val="en-US" w:eastAsia="en-US" w:bidi="en-US"/>
        </w:rPr>
        <w:t>This is a youth work qualified post</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Mention">
    <w:name w:val="Mention"/>
    <w:basedOn w:val="DefaultParagraphFont"/>
    <w:qFormat/>
    <w:rPr>
      <w:color w:val="2B579A"/>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Paragraph">
    <w:name w:val="Table Paragraph"/>
    <w:basedOn w:val="Normal"/>
    <w:qFormat/>
    <w:pPr>
      <w:widowControl w:val="false"/>
      <w:spacing w:lineRule="auto" w:line="240" w:before="120" w:after="0"/>
      <w:ind w:left="110" w:right="0" w:hanging="0"/>
    </w:pPr>
    <w:rPr>
      <w:rFonts w:ascii="Arial" w:hAnsi="Arial" w:eastAsia="Arial" w:cs="Arial"/>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footer" Target="footer1.xml"/><Relationship Id="rId12" Type="http://schemas.openxmlformats.org/officeDocument/2006/relationships/comments" Target="comments.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2026-04-13T09:32:00Z</dcterms:created>
  <dc:creator>Johnson, Andrew</dc:creator>
  <dc:description/>
  <dc:language>en-US</dc:language>
  <cp:lastModifiedBy>Dunn, Nicola</cp:lastModifiedBy>
  <cp:lastPrinted>1995-11-21T17:41:00Z</cp:lastPrinted>
  <dcterms:modified xsi:type="dcterms:W3CDTF">2026-07-10T14:09:00Z</dcterms:modified>
  <cp:revision>6</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0x0101005239135C81AC4D4CB0571F31C570660E</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Order">
    <vt:i4>172400</vt:i4>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y fmtid="{D5CDD505-2E9C-101B-9397-08002B2CF9AE}" pid="13" name="xd_Signature">
    <vt:bool>0</vt:bool>
  </property>
</Properties>
</file>