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8" w:type="dxa"/>
        <w:jc w:val="left"/>
        <w:tblInd w:w="0" w:type="dxa"/>
        <w:tblCellMar>
          <w:top w:w="0" w:type="dxa"/>
          <w:left w:w="108" w:type="dxa"/>
          <w:bottom w:w="0" w:type="dxa"/>
          <w:right w:w="108" w:type="dxa"/>
        </w:tblCellMar>
      </w:tblPr>
      <w:tblGrid>
        <w:gridCol w:w="9638"/>
      </w:tblGrid>
      <w:tr>
        <w:trPr/>
        <w:tc>
          <w:tcPr>
            <w:tcW w:w="9638" w:type="dxa"/>
            <w:tcBorders/>
            <w:shd w:fill="auto" w:val="clear"/>
          </w:tcPr>
          <w:p>
            <w:pPr>
              <w:pStyle w:val="Heading1"/>
              <w:numPr>
                <w:ilvl w:val="0"/>
                <w:numId w:val="0"/>
              </w:numPr>
              <w:spacing w:lineRule="auto" w:line="240" w:before="0" w:after="0"/>
              <w:ind w:left="0" w:hanging="0"/>
              <w:rPr>
                <w:sz w:val="16"/>
                <w:szCs w:val="16"/>
              </w:rPr>
            </w:pPr>
            <w:r>
              <w:rPr/>
              <w:drawing>
                <wp:inline distT="0" distB="0" distL="0" distR="0">
                  <wp:extent cx="1590675" cy="128524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21" t="-24" r="-21" b="-24"/>
                          <a:stretch>
                            <a:fillRect/>
                          </a:stretch>
                        </pic:blipFill>
                        <pic:spPr bwMode="auto">
                          <a:xfrm>
                            <a:off x="0" y="0"/>
                            <a:ext cx="1590675" cy="1285240"/>
                          </a:xfrm>
                          <a:prstGeom prst="rect">
                            <a:avLst/>
                          </a:prstGeom>
                        </pic:spPr>
                      </pic:pic>
                    </a:graphicData>
                  </a:graphic>
                </wp:inline>
              </w:drawing>
              <mc:AlternateContent>
                <mc:Choice Requires="wps">
                  <w:drawing>
                    <wp:anchor behindDoc="0" distT="0" distB="0" distL="114935" distR="114935" simplePos="0" locked="0" layoutInCell="1" allowOverlap="1" relativeHeight="6">
                      <wp:simplePos x="0" y="0"/>
                      <wp:positionH relativeFrom="column">
                        <wp:posOffset>2383155</wp:posOffset>
                      </wp:positionH>
                      <wp:positionV relativeFrom="paragraph">
                        <wp:posOffset>732155</wp:posOffset>
                      </wp:positionV>
                      <wp:extent cx="3410585" cy="457835"/>
                      <wp:effectExtent l="0" t="0" r="0" b="0"/>
                      <wp:wrapNone/>
                      <wp:docPr id="1" name=""/>
                      <a:graphic xmlns:a="http://schemas.openxmlformats.org/drawingml/2006/main">
                        <a:graphicData uri="http://schemas.microsoft.com/office/word/2010/wordprocessingShape">
                          <wps:wsp>
                            <wps:cNvSpPr txBox="1"/>
                            <wps:spPr>
                              <a:xfrm>
                                <a:off x="0" y="0"/>
                                <a:ext cx="3409920" cy="45720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187.65pt;margin-top:57.65pt;width:268.45pt;height:35.95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7">
                      <wp:simplePos x="0" y="0"/>
                      <wp:positionH relativeFrom="column">
                        <wp:posOffset>2383155</wp:posOffset>
                      </wp:positionH>
                      <wp:positionV relativeFrom="paragraph">
                        <wp:posOffset>732155</wp:posOffset>
                      </wp:positionV>
                      <wp:extent cx="3409950" cy="457200"/>
                      <wp:effectExtent l="0" t="0" r="0" b="0"/>
                      <wp:wrapNone/>
                      <wp:docPr id="3" name="Frame1"/>
                      <a:graphic xmlns:a="http://schemas.openxmlformats.org/drawingml/2006/main">
                        <a:graphicData uri="http://schemas.microsoft.com/office/word/2010/wordprocessingShape">
                          <wps:wsp>
                            <wps:cNvSpPr txBox="1"/>
                            <wps:spPr>
                              <a:xfrm>
                                <a:off x="0" y="0"/>
                                <a:ext cx="3409950" cy="457200"/>
                              </a:xfrm>
                              <a:prstGeom prst="rect"/>
                              <a:solidFill>
                                <a:srgbClr val="FFFFFF"/>
                              </a:solidFill>
                            </wps:spPr>
                            <wps:txbx>
                              <w:txbxContent>
                                <w:p>
                                  <w:pPr>
                                    <w:pStyle w:val="FrameContents"/>
                                    <w:rPr>
                                      <w:rFonts w:cs="Arial"/>
                                      <w:b/>
                                      <w:b/>
                                      <w:bCs/>
                                      <w:sz w:val="56"/>
                                      <w:szCs w:val="56"/>
                                    </w:rPr>
                                  </w:pPr>
                                  <w:r>
                                    <w:rPr>
                                      <w:rFonts w:cs="Arial"/>
                                      <w:b/>
                                      <w:bCs/>
                                      <w:sz w:val="56"/>
                                      <w:szCs w:val="56"/>
                                    </w:rPr>
                                    <w:t>Job Description</w:t>
                                  </w:r>
                                </w:p>
                              </w:txbxContent>
                            </wps:txbx>
                            <wps:bodyPr anchor="t" lIns="92075" tIns="46355" rIns="92075" bIns="46355">
                              <a:noAutofit/>
                            </wps:bodyPr>
                          </wps:wsp>
                        </a:graphicData>
                      </a:graphic>
                    </wp:anchor>
                  </w:drawing>
                </mc:Choice>
                <mc:Fallback>
                  <w:pict>
                    <v:rect fillcolor="#FFFFFF" style="position:absolute;rotation:0;width:268.5pt;height:36pt;mso-wrap-distance-left:0pt;mso-wrap-distance-right:0pt;mso-wrap-distance-top:5.7pt;mso-wrap-distance-bottom:5.7pt;margin-top:57.65pt;mso-position-vertical-relative:text;margin-left:187.65pt;mso-position-horizontal-relative:text">
                      <v:textbox inset="0.100694444444444in,0.0506944444444444in,0.100694444444444in,0.0506944444444444in">
                        <w:txbxContent>
                          <w:p>
                            <w:pPr>
                              <w:pStyle w:val="FrameContents"/>
                              <w:rPr>
                                <w:rFonts w:cs="Arial"/>
                                <w:b/>
                                <w:b/>
                                <w:bCs/>
                                <w:sz w:val="56"/>
                                <w:szCs w:val="56"/>
                              </w:rPr>
                            </w:pPr>
                            <w:r>
                              <w:rPr>
                                <w:rFonts w:cs="Arial"/>
                                <w:b/>
                                <w:bCs/>
                                <w:sz w:val="56"/>
                                <w:szCs w:val="56"/>
                              </w:rPr>
                              <w:t>Job Description</w:t>
                            </w:r>
                          </w:p>
                        </w:txbxContent>
                      </v:textbox>
                    </v:rect>
                  </w:pict>
                </mc:Fallback>
              </mc:AlternateContent>
            </w:r>
          </w:p>
        </w:tc>
      </w:tr>
    </w:tbl>
    <w:p>
      <w:pPr>
        <w:pStyle w:val="Normal"/>
        <w:rPr>
          <w:sz w:val="16"/>
          <w:szCs w:val="16"/>
        </w:rPr>
      </w:pPr>
      <w:r>
        <w:rPr>
          <w:sz w:val="16"/>
          <w:szCs w:val="16"/>
        </w:rPr>
      </w:r>
    </w:p>
    <w:tbl>
      <w:tblPr>
        <w:tblW w:w="9636" w:type="dxa"/>
        <w:jc w:val="left"/>
        <w:tblInd w:w="0" w:type="dxa"/>
        <w:tblCellMar>
          <w:top w:w="0" w:type="dxa"/>
          <w:left w:w="108" w:type="dxa"/>
          <w:bottom w:w="0" w:type="dxa"/>
          <w:right w:w="108" w:type="dxa"/>
        </w:tblCellMar>
      </w:tblPr>
      <w:tblGrid>
        <w:gridCol w:w="2085"/>
        <w:gridCol w:w="755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Job Details</w:t>
            </w:r>
          </w:p>
        </w:tc>
      </w:tr>
      <w:tr>
        <w:trPr>
          <w:trHeight w:val="23" w:hRule="atLeast"/>
        </w:trPr>
        <w:tc>
          <w:tcPr>
            <w:tcW w:w="2085"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drawing>
                <wp:anchor behindDoc="1" distT="0" distB="0" distL="0" distR="0" simplePos="0" locked="0" layoutInCell="1" allowOverlap="1" relativeHeight="5">
                  <wp:simplePos x="0" y="0"/>
                  <wp:positionH relativeFrom="column">
                    <wp:posOffset>2140585</wp:posOffset>
                  </wp:positionH>
                  <wp:positionV relativeFrom="page">
                    <wp:posOffset>-3175</wp:posOffset>
                  </wp:positionV>
                  <wp:extent cx="1308100" cy="1285875"/>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rcRect l="-28" t="-28" r="-28" b="-28"/>
                          <a:stretch>
                            <a:fillRect/>
                          </a:stretch>
                        </pic:blipFill>
                        <pic:spPr bwMode="auto">
                          <a:xfrm>
                            <a:off x="0" y="0"/>
                            <a:ext cx="1308100" cy="1285875"/>
                          </a:xfrm>
                          <a:prstGeom prst="rect">
                            <a:avLst/>
                          </a:prstGeom>
                        </pic:spPr>
                      </pic:pic>
                    </a:graphicData>
                  </a:graphic>
                </wp:anchor>
              </w:drawing>
            </w:r>
            <w:r>
              <w:rPr>
                <w:rFonts w:cs="Arial"/>
              </w:rPr>
              <w:t>T</w:t>
            </w:r>
            <w:r>
              <w:rPr>
                <w:rFonts w:cs="Arial"/>
              </w:rPr>
              <w:t xml:space="preserve">urton School </w:t>
            </w:r>
          </w:p>
        </w:tc>
      </w:tr>
      <w:tr>
        <w:trPr>
          <w:trHeight w:val="23" w:hRule="atLeast"/>
        </w:trPr>
        <w:tc>
          <w:tcPr>
            <w:tcW w:w="2085"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Teaching Assistant Level 2</w:t>
            </w:r>
          </w:p>
        </w:tc>
      </w:tr>
      <w:tr>
        <w:trPr>
          <w:trHeight w:val="23" w:hRule="atLeast"/>
        </w:trPr>
        <w:tc>
          <w:tcPr>
            <w:tcW w:w="2085"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Grade D, SCP 6 - 11</w:t>
            </w:r>
          </w:p>
        </w:tc>
      </w:tr>
      <w:tr>
        <w:trPr>
          <w:trHeight w:val="23" w:hRule="atLeast"/>
        </w:trPr>
        <w:tc>
          <w:tcPr>
            <w:tcW w:w="2085"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To enable access to learning for pupils and to assist the teacher in the management of pupils and the classroom. Supporting pupils learning may be carried out in classrooms or outside the main teaching area.</w:t>
            </w:r>
          </w:p>
        </w:tc>
      </w:tr>
      <w:tr>
        <w:trPr>
          <w:trHeight w:val="23" w:hRule="atLeast"/>
        </w:trPr>
        <w:tc>
          <w:tcPr>
            <w:tcW w:w="2085"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SEND Management Team</w:t>
            </w:r>
          </w:p>
        </w:tc>
      </w:tr>
      <w:tr>
        <w:trPr>
          <w:trHeight w:val="23" w:hRule="atLeast"/>
        </w:trPr>
        <w:tc>
          <w:tcPr>
            <w:tcW w:w="2085"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No Management Responsibilities</w:t>
            </w:r>
          </w:p>
        </w:tc>
      </w:tr>
      <w:tr>
        <w:trPr>
          <w:trHeight w:val="23" w:hRule="atLeast"/>
        </w:trPr>
        <w:tc>
          <w:tcPr>
            <w:tcW w:w="2085"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To work under the instruction/guidance of the SEND Management Team to undertake work/care/support programmes in support of the teacher/SENDCO/TA4.</w:t>
            </w:r>
          </w:p>
        </w:tc>
      </w:tr>
    </w:tbl>
    <w:p>
      <w:pPr>
        <w:pStyle w:val="Normal"/>
        <w:rPr/>
      </w:pPr>
      <w:r>
        <w:rPr/>
      </w:r>
    </w:p>
    <w:tbl>
      <w:tblPr>
        <w:tblW w:w="9636" w:type="dxa"/>
        <w:jc w:val="left"/>
        <w:tblInd w:w="0" w:type="dxa"/>
        <w:tblCellMar>
          <w:top w:w="0" w:type="dxa"/>
          <w:left w:w="108" w:type="dxa"/>
          <w:bottom w:w="0" w:type="dxa"/>
          <w:right w:w="108" w:type="dxa"/>
        </w:tblCellMar>
      </w:tblPr>
      <w:tblGrid>
        <w:gridCol w:w="660"/>
        <w:gridCol w:w="897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Main Duties</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Supervise and provide particular support for pupils, primarily those with SEND, ensuring their safety and access to learning activities.</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Assist with the development and implementation of Learning Passports, EHCP outcomes and Personal Care Programmes.</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Establish constructive relationships with pupils and interact with them according to individual needs.</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Deliver interventions in one to one sessions or small groups of pupils under direction of the SEND Management Team /TA L4.</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Encourage pupils to interact with others and engage in activities led by the teacher.</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sz w:val="24"/>
                <w:szCs w:val="24"/>
              </w:rPr>
            </w:pPr>
            <w:r>
              <w:rPr>
                <w:rFonts w:cs="Arial"/>
                <w:sz w:val="24"/>
                <w:szCs w:val="24"/>
              </w:rPr>
              <w:t>Have high expectations of pupils and promote self-esteem and independence.</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Provide feedback to pupils in relation to progress and achievement under guidance of the teacher/SEND Management Team/TA4.</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To provide personal care duties for pupils following provision of relevant training.</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Use strategies, in liaison with the teacher, to support pupils to achieve learning goals.</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Provide detailed and regular feedback to teacher/SEND Management Team/TA4 on pupils’ achievement, progress, concerns etc.</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Establish constructive relationships with parents/carers.</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Administer routine tests and invigilate exams and undertake routine marking of pupils’ work.</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Provide clerical/admin support e.g. photocopying, typing, filing, administer coursework etc.</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Undertake programmes linked to local and national learning strategies e.g. literacy, SEAL, numeracy, recording achievement and progress and feeding back to the teacher/SEND Management Team/TA4.</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Prepare, maintain and use equipment/resources required to meet the lesson plans/relevant learning activity and assist pupils in their use.</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Assist with the supervision of pupils out of lesson times (including before and after school and at break/lunchtime where this is a defined requirement of the role).</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Accompany teaching staff and pupils on visits, trips and out of school activities as required and take responsibility for a group under the supervision of the teacher/SEND Management Team/TA4.</w:t>
            </w:r>
          </w:p>
        </w:tc>
      </w:tr>
      <w:tr>
        <w:trPr>
          <w:trHeight w:val="23" w:hRule="atLeast"/>
        </w:trPr>
        <w:tc>
          <w:tcPr>
            <w:tcW w:w="660"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Be aware of learning objectives and outcomes as detailed in pupils’ EHCPs.</w:t>
            </w:r>
          </w:p>
        </w:tc>
      </w:tr>
      <w:tr>
        <w:trPr>
          <w:trHeight w:val="23" w:hRule="atLeast"/>
        </w:trPr>
        <w:tc>
          <w:tcPr>
            <w:tcW w:w="660"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sz w:val="24"/>
                <w:szCs w:val="24"/>
              </w:rPr>
            </w:pPr>
            <w:r>
              <w:rPr>
                <w:rFonts w:cs="Arial"/>
                <w:sz w:val="24"/>
                <w:szCs w:val="24"/>
              </w:rPr>
              <w:t>Other relevant duties commensurate with the grade of the role.</w:t>
            </w:r>
          </w:p>
        </w:tc>
      </w:tr>
    </w:tbl>
    <w:p>
      <w:pPr>
        <w:pStyle w:val="Normal"/>
        <w:rPr/>
      </w:pPr>
      <w:r>
        <w:rPr/>
      </w:r>
    </w:p>
    <w:p>
      <w:pPr>
        <w:pStyle w:val="Normal"/>
        <w:rPr/>
      </w:pPr>
      <w:r>
        <w:rPr/>
        <w:t>The post holder may reasonably be expected to undertake other duties commensurate with the level of responsibility that may be allocated, at the discretion of the Head Teacher and to meet the needs of the school.</w:t>
      </w:r>
    </w:p>
    <w:p>
      <w:pPr>
        <w:pStyle w:val="Normal"/>
        <w:rPr/>
      </w:pPr>
      <w:r>
        <w:rPr/>
      </w:r>
    </w:p>
    <w:tbl>
      <w:tblPr>
        <w:tblW w:w="9636" w:type="dxa"/>
        <w:jc w:val="left"/>
        <w:tblInd w:w="0" w:type="dxa"/>
        <w:tblCellMar>
          <w:top w:w="0" w:type="dxa"/>
          <w:left w:w="108" w:type="dxa"/>
          <w:bottom w:w="0" w:type="dxa"/>
          <w:right w:w="108" w:type="dxa"/>
        </w:tblCellMar>
      </w:tblPr>
      <w:tblGrid>
        <w:gridCol w:w="3309"/>
        <w:gridCol w:w="6327"/>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Version Control</w:t>
            </w:r>
          </w:p>
        </w:tc>
      </w:tr>
      <w:tr>
        <w:trPr>
          <w:trHeight w:val="23" w:hRule="atLeast"/>
        </w:trPr>
        <w:tc>
          <w:tcPr>
            <w:tcW w:w="3309"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7"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 Davidson &amp; J Bach</w:t>
            </w:r>
          </w:p>
        </w:tc>
      </w:tr>
      <w:tr>
        <w:trPr>
          <w:trHeight w:val="23" w:hRule="atLeast"/>
        </w:trPr>
        <w:tc>
          <w:tcPr>
            <w:tcW w:w="3309"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7"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109.3pt;height:16.3pt" type="#shapetype_75"/>
                <w:control r:id="rId4" w:name="Date Field 1" w:shapeid="control_shape_0"/>
              </w:object>
            </w:r>
          </w:p>
        </w:tc>
      </w:tr>
    </w:tbl>
    <w:p>
      <w:pPr>
        <w:pStyle w:val="Normal"/>
        <w:rPr/>
      </w:pPr>
      <w:r>
        <w:rPr/>
      </w:r>
    </w:p>
    <w:p>
      <w:pPr>
        <w:pStyle w:val="Normal"/>
        <w:rPr/>
      </w:pPr>
      <w:r>
        <w:rPr/>
      </w:r>
    </w:p>
    <w:p>
      <w:pPr>
        <w:sectPr>
          <w:headerReference w:type="default" r:id="rId5"/>
          <w:footerReference w:type="default" r:id="rId6"/>
          <w:type w:val="nextPage"/>
          <w:pgSz w:w="11906" w:h="16838"/>
          <w:pgMar w:left="1134" w:right="1134" w:header="567" w:top="992" w:footer="567" w:bottom="992" w:gutter="0"/>
          <w:pgBorders w:display="allPages" w:offsetFrom="text">
            <w:top w:val="single" w:sz="12" w:space="2" w:color="000000"/>
            <w:left w:val="single" w:sz="12" w:space="31" w:color="000000"/>
            <w:bottom w:val="single" w:sz="12" w:space="2" w:color="000000"/>
            <w:right w:val="single" w:sz="12" w:space="31" w:color="000000"/>
          </w:pgBorders>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91"/>
        <w:gridCol w:w="3146"/>
      </w:tblGrid>
      <w:tr>
        <w:trPr/>
        <w:tc>
          <w:tcPr>
            <w:tcW w:w="6491" w:type="dxa"/>
            <w:tcBorders/>
            <w:shd w:fill="auto" w:val="clear"/>
          </w:tcPr>
          <w:p>
            <w:pPr>
              <w:pStyle w:val="Normal"/>
              <w:snapToGrid w:val="false"/>
              <w:spacing w:lineRule="auto" w:line="240" w:before="0" w:after="0"/>
              <w:jc w:val="right"/>
              <w:rPr/>
            </w:pPr>
            <w:r>
              <w:rPr/>
            </w:r>
          </w:p>
        </w:tc>
        <w:tc>
          <w:tcPr>
            <w:tcW w:w="3146" w:type="dxa"/>
            <w:tcBorders/>
            <w:shd w:fill="auto" w:val="clear"/>
          </w:tcPr>
          <w:p>
            <w:pPr>
              <w:pStyle w:val="Normal"/>
              <w:snapToGrid w:val="false"/>
              <w:spacing w:lineRule="auto" w:line="240" w:before="0" w:after="0"/>
              <w:jc w:val="right"/>
              <w:rPr/>
            </w:pPr>
            <w:r>
              <w:rPr/>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782" w:type="dxa"/>
        <w:jc w:val="left"/>
        <w:tblInd w:w="0" w:type="dxa"/>
        <w:tblCellMar>
          <w:top w:w="0" w:type="dxa"/>
          <w:left w:w="108" w:type="dxa"/>
          <w:bottom w:w="0" w:type="dxa"/>
          <w:right w:w="108" w:type="dxa"/>
        </w:tblCellMar>
      </w:tblPr>
      <w:tblGrid>
        <w:gridCol w:w="1649"/>
        <w:gridCol w:w="8133"/>
      </w:tblGrid>
      <w:tr>
        <w:trPr>
          <w:trHeight w:val="23" w:hRule="atLeast"/>
        </w:trPr>
        <w:tc>
          <w:tcPr>
            <w:tcW w:w="9782" w:type="dxa"/>
            <w:gridSpan w:val="2"/>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Job Details</w:t>
            </w:r>
          </w:p>
        </w:tc>
      </w:tr>
      <w:tr>
        <w:trPr>
          <w:trHeight w:val="23" w:hRule="atLeast"/>
        </w:trPr>
        <w:tc>
          <w:tcPr>
            <w:tcW w:w="1649"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8133"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bCs/>
              </w:rPr>
            </w:pPr>
            <w:r>
              <w:rPr>
                <w:rFonts w:cs="Arial"/>
                <w:bCs/>
              </w:rPr>
              <w:t>Turton School</w:t>
            </w:r>
          </w:p>
        </w:tc>
      </w:tr>
      <w:tr>
        <w:trPr>
          <w:trHeight w:val="23" w:hRule="atLeast"/>
        </w:trPr>
        <w:tc>
          <w:tcPr>
            <w:tcW w:w="1649"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8133"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Teaching Assistant Level 2</w:t>
            </w:r>
          </w:p>
        </w:tc>
      </w:tr>
      <w:tr>
        <w:trPr>
          <w:trHeight w:val="23" w:hRule="atLeast"/>
        </w:trPr>
        <w:tc>
          <w:tcPr>
            <w:tcW w:w="1649"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8133"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Grade D, SCP 6 - 11</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B8CCE4"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sz w:val="24"/>
                <w:szCs w:val="24"/>
              </w:rPr>
            </w:pPr>
            <w:r>
              <w:rPr>
                <w:rFonts w:cs="Arial"/>
                <w:sz w:val="24"/>
                <w:szCs w:val="24"/>
              </w:rPr>
              <w:t>Understanding of relevant polices/codes of practice and awareness of relevant legislation.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sz w:val="24"/>
                <w:szCs w:val="24"/>
              </w:rPr>
            </w:pPr>
            <w:r>
              <w:rPr>
                <w:rFonts w:cs="Arial"/>
                <w:sz w:val="24"/>
                <w:szCs w:val="24"/>
              </w:rPr>
              <w:t>General understanding of national/foundation stage curriculum and other basic learning programmes/strategies.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sz w:val="24"/>
                <w:szCs w:val="24"/>
              </w:rPr>
            </w:pPr>
            <w:r>
              <w:rPr>
                <w:rFonts w:cs="Arial"/>
                <w:sz w:val="24"/>
                <w:szCs w:val="24"/>
              </w:rPr>
              <w:t>Basic understanding of child development and learning.</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sz w:val="24"/>
                <w:szCs w:val="24"/>
              </w:rPr>
            </w:pPr>
            <w:r>
              <w:rPr>
                <w:rFonts w:cs="Arial"/>
                <w:sz w:val="24"/>
                <w:szCs w:val="24"/>
              </w:rPr>
              <w:t>Ability to self-evaluate learning needs and actively seek learning opportunities.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tabs>
                <w:tab w:val="clear" w:pos="720"/>
                <w:tab w:val="left" w:pos="492" w:leader="none"/>
              </w:tabs>
              <w:spacing w:lineRule="auto" w:line="240" w:before="0" w:after="0"/>
              <w:rPr>
                <w:rFonts w:cs="Arial"/>
                <w:sz w:val="24"/>
                <w:szCs w:val="24"/>
              </w:rPr>
            </w:pPr>
            <w:r>
              <w:rPr>
                <w:rFonts w:cs="Arial"/>
                <w:sz w:val="24"/>
                <w:szCs w:val="24"/>
              </w:rPr>
              <w:t>Shows commitment to training on departmental and whole school issues.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sz w:val="24"/>
                <w:szCs w:val="24"/>
              </w:rPr>
            </w:pPr>
            <w:r>
              <w:rPr>
                <w:rFonts w:cs="Arial"/>
                <w:sz w:val="24"/>
                <w:szCs w:val="24"/>
              </w:rPr>
              <w:t>Ability to relate well to children and adults.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tabs>
                <w:tab w:val="clear" w:pos="720"/>
                <w:tab w:val="left" w:pos="459" w:leader="none"/>
                <w:tab w:val="left" w:pos="492" w:leader="none"/>
              </w:tabs>
              <w:spacing w:lineRule="auto" w:line="240" w:before="0" w:after="0"/>
              <w:rPr>
                <w:rFonts w:cs="Arial"/>
                <w:sz w:val="24"/>
                <w:szCs w:val="24"/>
              </w:rPr>
            </w:pPr>
            <w:r>
              <w:rPr>
                <w:rFonts w:cs="Arial"/>
                <w:sz w:val="24"/>
                <w:szCs w:val="24"/>
              </w:rPr>
              <w:t>Ability to get the best out of children.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sz w:val="24"/>
                <w:szCs w:val="24"/>
              </w:rPr>
            </w:pPr>
            <w:r>
              <w:rPr>
                <w:rFonts w:cs="Arial"/>
                <w:sz w:val="24"/>
                <w:szCs w:val="24"/>
              </w:rPr>
              <w:t>Work constructively as part of a team, understanding classroom roles and responsibilities and your own position within these.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tabs>
                <w:tab w:val="clear" w:pos="720"/>
                <w:tab w:val="left" w:pos="459" w:leader="none"/>
              </w:tabs>
              <w:spacing w:lineRule="auto" w:line="240" w:before="0" w:after="0"/>
              <w:rPr>
                <w:rFonts w:cs="Arial"/>
                <w:sz w:val="24"/>
                <w:szCs w:val="24"/>
              </w:rPr>
            </w:pPr>
            <w:r>
              <w:rPr>
                <w:rFonts w:cs="Arial"/>
                <w:sz w:val="24"/>
                <w:szCs w:val="24"/>
              </w:rPr>
              <w:t>Tact and diplomacy in all interpersonal relationships with public, pupils and colleagues at work.</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tabs>
                <w:tab w:val="clear" w:pos="720"/>
                <w:tab w:val="left" w:pos="459" w:leader="none"/>
              </w:tabs>
              <w:spacing w:lineRule="auto" w:line="240" w:before="0" w:after="0"/>
              <w:rPr>
                <w:rFonts w:cs="Arial"/>
                <w:sz w:val="24"/>
                <w:szCs w:val="24"/>
              </w:rPr>
            </w:pPr>
            <w:r>
              <w:rPr>
                <w:rFonts w:cs="Arial"/>
                <w:sz w:val="24"/>
                <w:szCs w:val="24"/>
              </w:rPr>
              <w:t>Self-motivation and personal drive to complete tasks to required timescales and quality standards.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tabs>
                <w:tab w:val="clear" w:pos="720"/>
                <w:tab w:val="left" w:pos="459" w:leader="none"/>
              </w:tabs>
              <w:spacing w:lineRule="auto" w:line="240" w:before="0" w:after="0"/>
              <w:rPr>
                <w:rFonts w:cs="Arial"/>
                <w:sz w:val="24"/>
                <w:szCs w:val="24"/>
              </w:rPr>
            </w:pPr>
            <w:r>
              <w:rPr>
                <w:rFonts w:cs="Arial"/>
                <w:sz w:val="24"/>
                <w:szCs w:val="24"/>
              </w:rPr>
              <w:t>Flexibility to adapt to changing workload demand and new school challenges.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sz w:val="24"/>
                <w:szCs w:val="24"/>
              </w:rPr>
            </w:pPr>
            <w:r>
              <w:rPr>
                <w:rFonts w:cs="Arial"/>
                <w:sz w:val="24"/>
                <w:szCs w:val="24"/>
              </w:rPr>
              <w:t>Personal commitment to ensure provision of support is equally accessible and appropriate to meet the diverse needs of pupils.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sz w:val="24"/>
                <w:szCs w:val="24"/>
              </w:rPr>
            </w:pPr>
            <w:r>
              <w:rPr>
                <w:rFonts w:cs="Arial"/>
                <w:sz w:val="24"/>
                <w:szCs w:val="24"/>
              </w:rPr>
              <w:t>Effective use of ICT to support learning.</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B8CCE4"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bCs/>
                <w:sz w:val="24"/>
                <w:szCs w:val="24"/>
              </w:rPr>
            </w:pPr>
            <w:r>
              <w:rPr>
                <w:rFonts w:cs="Arial"/>
                <w:bCs/>
                <w:sz w:val="24"/>
                <w:szCs w:val="24"/>
              </w:rPr>
              <w:t>Working with or caring for children of relevant age.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sz w:val="24"/>
                <w:szCs w:val="24"/>
              </w:rPr>
            </w:pPr>
            <w:r>
              <w:rPr>
                <w:rFonts w:cs="Arial"/>
                <w:sz w:val="24"/>
                <w:szCs w:val="24"/>
              </w:rPr>
              <w:t>Good numeracy/literacy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bookmarkStart w:id="0" w:name="_Hlk4239058"/>
            <w:bookmarkEnd w:id="0"/>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sz w:val="24"/>
                <w:szCs w:val="24"/>
              </w:rPr>
            </w:pPr>
            <w:r>
              <w:rPr>
                <w:rFonts w:cs="Arial"/>
                <w:sz w:val="24"/>
                <w:szCs w:val="24"/>
              </w:rPr>
              <w:t>NVQ 2 for Teaching Assistants or equivalent qualifications or experience.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sz w:val="24"/>
                <w:szCs w:val="24"/>
              </w:rPr>
            </w:pPr>
            <w:r>
              <w:rPr>
                <w:rFonts w:cs="Arial"/>
                <w:sz w:val="24"/>
                <w:szCs w:val="24"/>
              </w:rPr>
              <w:t>Training in the relevant learning strategies e.g. literacy.</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p>
      <w:pPr>
        <w:pStyle w:val="Normal"/>
        <w:rPr/>
      </w:pPr>
      <w:r>
        <w:rPr/>
      </w:r>
    </w:p>
    <w:tbl>
      <w:tblPr>
        <w:tblW w:w="9924" w:type="dxa"/>
        <w:jc w:val="left"/>
        <w:tblInd w:w="0" w:type="dxa"/>
        <w:tblCellMar>
          <w:top w:w="0" w:type="dxa"/>
          <w:left w:w="108" w:type="dxa"/>
          <w:bottom w:w="0" w:type="dxa"/>
          <w:right w:w="108" w:type="dxa"/>
        </w:tblCellMar>
      </w:tblPr>
      <w:tblGrid>
        <w:gridCol w:w="3725"/>
        <w:gridCol w:w="6199"/>
      </w:tblGrid>
      <w:tr>
        <w:trPr>
          <w:trHeight w:val="23" w:hRule="atLeast"/>
        </w:trPr>
        <w:tc>
          <w:tcPr>
            <w:tcW w:w="9924" w:type="dxa"/>
            <w:gridSpan w:val="2"/>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61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619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109.3pt;height:16.3pt" type="#shapetype_75"/>
                <w:control r:id="rId7" w:name="Date Field 2" w:shapeid="control_shape_1"/>
              </w:object>
            </w:r>
          </w:p>
        </w:tc>
      </w:tr>
    </w:tbl>
    <w:p>
      <w:pPr>
        <w:pStyle w:val="Normal"/>
        <w:rPr/>
      </w:pPr>
      <w:r>
        <w:rPr/>
      </w:r>
    </w:p>
    <w:p>
      <w:pPr>
        <w:sectPr>
          <w:headerReference w:type="default" r:id="rId8"/>
          <w:footerReference w:type="default" r:id="rId9"/>
          <w:type w:val="nextPage"/>
          <w:pgSz w:w="11906" w:h="16838"/>
          <w:pgMar w:left="1134" w:right="1134" w:header="567" w:top="992" w:footer="567" w:bottom="992" w:gutter="0"/>
          <w:pgBorders w:display="allPages" w:offsetFrom="text">
            <w:top w:val="single" w:sz="12" w:space="2" w:color="000000"/>
            <w:left w:val="single" w:sz="12" w:space="31" w:color="000000"/>
            <w:bottom w:val="single" w:sz="12" w:space="2" w:color="000000"/>
            <w:right w:val="single" w:sz="12" w:space="31" w:color="000000"/>
          </w:pgBorders>
          <w:pgNumType w:fmt="decimal"/>
          <w:formProt w:val="false"/>
          <w:textDirection w:val="lrTb"/>
          <w:docGrid w:type="default" w:linePitch="360" w:charSpace="4096"/>
        </w:sectPr>
        <w:pStyle w:val="Normal"/>
        <w:rPr/>
      </w:pPr>
      <w:r>
        <w:rPr/>
      </w:r>
    </w:p>
    <w:p>
      <w:pPr>
        <w:pStyle w:val="Heading1"/>
        <w:jc w:val="both"/>
        <w:rPr/>
      </w:pPr>
      <w:r>
        <w:rPr/>
        <w:t>Core Competencies</w:t>
      </w:r>
    </w:p>
    <w:p>
      <w:pPr>
        <w:pStyle w:val="Normal"/>
        <w:jc w:val="both"/>
        <w:rPr/>
      </w:pPr>
      <w:r>
        <w:rPr/>
      </w:r>
    </w:p>
    <w:p>
      <w:pPr>
        <w:pStyle w:val="Normal"/>
        <w:jc w:val="both"/>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jc w:val="both"/>
        <w:rPr/>
      </w:pPr>
      <w:r>
        <w:rPr/>
      </w:r>
    </w:p>
    <w:p>
      <w:pPr>
        <w:pStyle w:val="Normal"/>
        <w:jc w:val="both"/>
        <w:rPr>
          <w:b/>
          <w:b/>
        </w:rPr>
      </w:pPr>
      <w:r>
        <w:rPr>
          <w:b/>
        </w:rPr>
        <w:t>Developing Self and Others</w:t>
      </w:r>
    </w:p>
    <w:p>
      <w:pPr>
        <w:pStyle w:val="Normal"/>
        <w:jc w:val="both"/>
        <w:rPr/>
      </w:pPr>
      <w:r>
        <w:rPr/>
        <w:t>Promote a learning environment to embed a learning culture. Support others to develop their skills and knowledge to fulfil their potential. Actively pursue your own development.</w:t>
      </w:r>
    </w:p>
    <w:p>
      <w:pPr>
        <w:pStyle w:val="Normal"/>
        <w:jc w:val="both"/>
        <w:rPr/>
      </w:pPr>
      <w:r>
        <w:rPr/>
      </w:r>
    </w:p>
    <w:p>
      <w:pPr>
        <w:pStyle w:val="Normal"/>
        <w:jc w:val="both"/>
        <w:rPr>
          <w:b/>
          <w:b/>
        </w:rPr>
      </w:pPr>
      <w:r>
        <w:rPr>
          <w:b/>
        </w:rPr>
        <w:t>Equality and Diversity</w:t>
      </w:r>
    </w:p>
    <w:p>
      <w:pPr>
        <w:pStyle w:val="Normal"/>
        <w:jc w:val="both"/>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jc w:val="both"/>
        <w:rPr/>
      </w:pPr>
      <w:r>
        <w:rPr/>
      </w:r>
    </w:p>
    <w:p>
      <w:pPr>
        <w:pStyle w:val="Normal"/>
        <w:jc w:val="both"/>
        <w:rPr>
          <w:b/>
          <w:b/>
          <w:bCs/>
        </w:rPr>
      </w:pPr>
      <w:r>
        <w:rPr>
          <w:b/>
          <w:bCs/>
        </w:rPr>
        <w:t>Code of Conduct</w:t>
      </w:r>
    </w:p>
    <w:p>
      <w:pPr>
        <w:pStyle w:val="Normal"/>
        <w:jc w:val="both"/>
        <w:rPr/>
      </w:pPr>
      <w:r>
        <w:rPr/>
        <w:t xml:space="preserve">Sets out behavioural expectations for employees towards colleagues, managers and the wider school. It emphasises open communication, professionalism, respect, and adherence to laws. </w:t>
      </w:r>
      <w:bookmarkStart w:id="1" w:name="_Hlk147827733"/>
      <w:bookmarkEnd w:id="1"/>
    </w:p>
    <w:p>
      <w:pPr>
        <w:pStyle w:val="Normal"/>
        <w:jc w:val="both"/>
        <w:rPr/>
      </w:pPr>
      <w:r>
        <w:rPr/>
      </w:r>
    </w:p>
    <w:p>
      <w:pPr>
        <w:pStyle w:val="Normal"/>
        <w:jc w:val="both"/>
        <w:rPr>
          <w:b/>
          <w:b/>
        </w:rPr>
      </w:pPr>
      <w:r>
        <w:rPr>
          <w:b/>
        </w:rPr>
        <w:t>Health and Safety</w:t>
      </w:r>
    </w:p>
    <w:p>
      <w:pPr>
        <w:pStyle w:val="Normal"/>
        <w:jc w:val="both"/>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jc w:val="both"/>
        <w:rPr/>
      </w:pPr>
      <w:r>
        <w:rPr/>
      </w:r>
    </w:p>
    <w:p>
      <w:pPr>
        <w:pStyle w:val="Normal"/>
        <w:jc w:val="both"/>
        <w:rPr>
          <w:b/>
          <w:b/>
        </w:rPr>
      </w:pPr>
      <w:r>
        <w:rPr>
          <w:b/>
        </w:rPr>
        <w:t>Data Protection and Confidentiality</w:t>
      </w:r>
    </w:p>
    <w:p>
      <w:pPr>
        <w:pStyle w:val="Normal"/>
        <w:jc w:val="both"/>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jc w:val="both"/>
        <w:rPr/>
      </w:pPr>
      <w:r>
        <w:rPr/>
      </w:r>
    </w:p>
    <w:p>
      <w:pPr>
        <w:pStyle w:val="Normal"/>
        <w:jc w:val="both"/>
        <w:rPr>
          <w:b/>
          <w:b/>
        </w:rPr>
      </w:pPr>
      <w:r>
        <w:rPr>
          <w:b/>
        </w:rPr>
        <w:t>Working Hours</w:t>
      </w:r>
    </w:p>
    <w:p>
      <w:pPr>
        <w:pStyle w:val="Normal"/>
        <w:jc w:val="both"/>
        <w:rPr/>
      </w:pPr>
      <w:r>
        <w:rPr/>
        <w:t>The nature and demands of the role are not always predictable and there will be an expectation that work will be required outside of normal hours from time to time.</w:t>
      </w:r>
    </w:p>
    <w:p>
      <w:pPr>
        <w:pStyle w:val="Normal"/>
        <w:jc w:val="both"/>
        <w:rPr/>
      </w:pPr>
      <w:r>
        <w:rPr/>
      </w:r>
    </w:p>
    <w:p>
      <w:pPr>
        <w:pStyle w:val="Normal"/>
        <w:jc w:val="both"/>
        <w:rPr>
          <w:b/>
          <w:b/>
        </w:rPr>
      </w:pPr>
      <w:r>
        <w:rPr>
          <w:b/>
        </w:rPr>
        <w:t>Safeguarding</w:t>
      </w:r>
    </w:p>
    <w:p>
      <w:pPr>
        <w:pStyle w:val="Normal"/>
        <w:jc w:val="both"/>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Borders w:display="allPages" w:offsetFrom="text">
        <w:top w:val="single" w:sz="12" w:space="2" w:color="000000"/>
        <w:left w:val="single" w:sz="12" w:space="31" w:color="000000"/>
        <w:bottom w:val="single" w:sz="12" w:space="2" w:color="000000"/>
        <w:right w:val="single" w:sz="12"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14 December 2023</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14 December 2023</w:t>
      <w:tab/>
    </w:r>
    <w:r>
      <w:rPr>
        <w:sz w:val="20"/>
      </w:rPr>
      <w:fldChar w:fldCharType="begin"/>
    </w:r>
    <w:r>
      <w:rPr>
        <w:sz w:val="20"/>
      </w:rPr>
      <w:instrText> PAGE </w:instrText>
    </w:r>
    <w:r>
      <w:rPr>
        <w:sz w:val="20"/>
      </w:rPr>
      <w:fldChar w:fldCharType="separate"/>
    </w:r>
    <w:r>
      <w:rPr>
        <w:sz w:val="20"/>
      </w:rPr>
      <w:t>4</w:t>
    </w:r>
    <w:r>
      <w:rPr>
        <w:sz w:val="20"/>
      </w:rPr>
      <w:fldChar w:fldCharType="end"/>
    </w:r>
    <w:r>
      <w:rPr>
        <w:sz w:val="20"/>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14 December 2023</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rFonts w:cs="Arial"/>
        <w:sz w:val="20"/>
      </w:rPr>
      <w:t xml:space="preserve">     </w:t>
    </w:r>
    <w:r>
      <w:rPr>
        <w:sz w:val="20"/>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rFonts w:cs="Arial"/>
        <w:sz w:val="20"/>
      </w:rPr>
      <w:t xml:space="preserve">     </w:t>
    </w:r>
    <w:r>
      <w:rPr>
        <w:sz w:val="20"/>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rFonts w:cs="Arial"/>
        <w:sz w:val="20"/>
      </w:rPr>
      <w:t xml:space="preserve">     </w:t>
    </w:r>
    <w:r>
      <w:rPr>
        <w:sz w:val="20"/>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control" Target="activeX/activeX1.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2026-06-04T11:51:00Z</dcterms:created>
  <dc:creator>Aaron.Rullow@bolton.gov.uk</dc:creator>
  <dc:description/>
  <dc:language>en-US</dc:language>
  <cp:lastModifiedBy>A. Platt</cp:lastModifiedBy>
  <cp:lastPrinted>1995-11-21T17:41:00Z</cp:lastPrinted>
  <dcterms:modified xsi:type="dcterms:W3CDTF">2026-06-04T11:51:00Z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