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4.jpeg" ContentType="image/jpeg"/>
  <Override PartName="/word/media/image5.jpeg" ContentType="image/jpeg"/>
  <Override PartName="/word/media/image7.png" ContentType="image/png"/>
  <Override PartName="/word/media/image6.png" ContentType="image/png"/>
  <Override PartName="/word/media/image9.png" ContentType="image/png"/>
  <Override PartName="/word/media/image10.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2">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EDUCATIONAL PSYCHOLOGIST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Soulbury Educational Psychologists Scale A Points 2-7</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use psychological knowledge, assessment and consultation skills, working in partnership with parents/carers, educational settings, the Local Authority, Health Services and other agencies to promote the educational, social and emotional development of children in Bolton.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Principal Educational Psychologist/Senior Educational Psychologist.</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p>
            <w:pPr>
              <w:pStyle w:val="Normal"/>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2209"/>
        <w:gridCol w:w="7112"/>
        <w:gridCol w:w="316"/>
      </w:tblGrid>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 xml:space="preserve">To provide strategic, whole school advice and support to Early Years settings, schools and Post 16 settings as part of our evolving and developing Experts at Hand Offer.  </w:t>
            </w:r>
          </w:p>
        </w:tc>
      </w:tr>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 xml:space="preserve">To provide assessment, consultation, training and groupwork as requested by schools/colleges via the traded service. </w:t>
            </w:r>
          </w:p>
        </w:tc>
      </w:tr>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To organise and maintain a regular programme of work to commissioning schools and use problem solving strategies to resolve issues.</w:t>
            </w:r>
          </w:p>
        </w:tc>
      </w:tr>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To provide psychological advice to the Local Authority under the Code of Practice (2014).</w:t>
            </w:r>
          </w:p>
        </w:tc>
      </w:tr>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7428" w:type="dxa"/>
            <w:gridSpan w:val="2"/>
            <w:tcBorders/>
            <w:shd w:fill="auto" w:val="clear"/>
          </w:tcPr>
          <w:p>
            <w:pPr>
              <w:pStyle w:val="Normal"/>
              <w:spacing w:lineRule="auto" w:line="240" w:before="0" w:after="0"/>
              <w:jc w:val="both"/>
              <w:rPr>
                <w:rFonts w:ascii="Arial" w:hAnsi="Arial" w:cs="Arial"/>
              </w:rPr>
            </w:pPr>
            <w:r>
              <w:rPr>
                <w:rFonts w:cs="Arial" w:ascii="Arial" w:hAnsi="Arial"/>
              </w:rPr>
              <w:t>To carry out assessments requested by the Local Authority.</w:t>
            </w:r>
          </w:p>
        </w:tc>
      </w:tr>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 xml:space="preserve">To undertake specialist activities according to Service needs. </w:t>
            </w:r>
          </w:p>
        </w:tc>
      </w:tr>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To assist in the reviewing of provision for children with special educational needs.</w:t>
            </w:r>
          </w:p>
        </w:tc>
      </w:tr>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To liaise with statutory and voluntary agencies promoting the welfare of children.</w:t>
            </w:r>
          </w:p>
        </w:tc>
      </w:tr>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To maintain records of work according to EPS policy.</w:t>
            </w:r>
          </w:p>
        </w:tc>
      </w:tr>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To identify self-development needs in collaboration with the Service’s management and undertake relevant agreed activity.</w:t>
            </w:r>
          </w:p>
        </w:tc>
      </w:tr>
      <w:tr>
        <w:trPr>
          <w:trHeight w:val="506"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To be a member of the LA Critical Incident Support Service.</w:t>
            </w:r>
          </w:p>
        </w:tc>
      </w:tr>
      <w:tr>
        <w:trPr>
          <w:trHeight w:val="2005" w:hRule="atLeast"/>
        </w:trPr>
        <w:tc>
          <w:tcPr>
            <w:tcW w:w="2209" w:type="dxa"/>
            <w:tcBorders/>
            <w:shd w:fill="auto" w:val="clear"/>
          </w:tcPr>
          <w:p>
            <w:pPr>
              <w:pStyle w:val="Normal"/>
              <w:spacing w:lineRule="auto" w:line="240" w:before="0" w:after="0"/>
              <w:rPr>
                <w:rFonts w:ascii="Arial" w:hAnsi="Arial" w:cs="Arial"/>
                <w:b/>
                <w:b/>
              </w:rPr>
            </w:pPr>
            <w:r>
              <w:rPr>
                <w:rFonts w:cs="Arial" w:ascii="Arial" w:hAnsi="Arial"/>
                <w:b/>
              </w:rPr>
              <w:t>12</w:t>
            </w:r>
          </w:p>
          <w:p>
            <w:pPr>
              <w:pStyle w:val="Normal"/>
              <w:spacing w:lineRule="auto" w:line="240" w:before="0" w:after="0"/>
              <w:rPr>
                <w:rFonts w:ascii="Arial" w:hAnsi="Arial" w:cs="Arial"/>
                <w:b/>
                <w:b/>
              </w:rPr>
            </w:pPr>
            <w:r>
              <w:rPr>
                <w:rFonts w:cs="Arial" w:ascii="Arial" w:hAnsi="Arial"/>
                <w:b/>
              </w:rPr>
              <w:t>13</w:t>
            </w:r>
          </w:p>
        </w:tc>
        <w:tc>
          <w:tcPr>
            <w:tcW w:w="7428" w:type="dxa"/>
            <w:gridSpan w:val="2"/>
            <w:tcBorders/>
            <w:shd w:fill="auto" w:val="clear"/>
          </w:tcPr>
          <w:p>
            <w:pPr>
              <w:pStyle w:val="Normal"/>
              <w:spacing w:lineRule="auto" w:line="240" w:before="0" w:after="0"/>
              <w:rPr>
                <w:rFonts w:ascii="Arial" w:hAnsi="Arial" w:cs="Arial"/>
              </w:rPr>
            </w:pPr>
            <w:r>
              <w:rPr>
                <w:rFonts w:cs="Arial" w:ascii="Arial" w:hAnsi="Arial"/>
              </w:rPr>
              <w:t>To attend team meetings and supervision sessions.</w:t>
            </w:r>
          </w:p>
          <w:p>
            <w:pPr>
              <w:pStyle w:val="NoSpacing"/>
              <w:spacing w:lineRule="auto" w:line="240" w:before="0" w:after="0"/>
              <w:rPr>
                <w:rFonts w:ascii="Arial" w:hAnsi="Arial" w:cs="Arial"/>
              </w:rPr>
            </w:pPr>
            <w:r>
              <w:rPr>
                <w:rFonts w:cs="Arial" w:ascii="Arial" w:hAnsi="Arial"/>
              </w:rPr>
              <w:t>Any other duties deemed necessary by the Principal Educational Psychologist, commensurate with the grade and general character of the post.</w:t>
            </w:r>
          </w:p>
          <w:p>
            <w:pPr>
              <w:pStyle w:val="Normal"/>
              <w:spacing w:lineRule="auto" w:line="240" w:before="0" w:after="0"/>
              <w:rPr>
                <w:rFonts w:ascii="Arial" w:hAnsi="Arial" w:cs="Arial"/>
              </w:rPr>
            </w:pPr>
            <w:r>
              <w:rPr>
                <w:rFonts w:cs="Arial" w:ascii="Arial" w:hAnsi="Arial"/>
              </w:rPr>
            </w:r>
          </w:p>
        </w:tc>
      </w:tr>
      <w:tr>
        <w:trPr/>
        <w:tc>
          <w:tcPr>
            <w:tcW w:w="9321" w:type="dxa"/>
            <w:gridSpan w:val="2"/>
            <w:tcBorders/>
            <w:shd w:fill="auto" w:val="clear"/>
          </w:tcPr>
          <w:tbl>
            <w:tblPr>
              <w:tblW w:w="10903" w:type="dxa"/>
              <w:jc w:val="left"/>
              <w:tblInd w:w="0" w:type="dxa"/>
              <w:tblCellMar>
                <w:top w:w="0" w:type="dxa"/>
                <w:left w:w="108" w:type="dxa"/>
                <w:bottom w:w="0" w:type="dxa"/>
                <w:right w:w="108" w:type="dxa"/>
              </w:tblCellMar>
            </w:tblPr>
            <w:tblGrid>
              <w:gridCol w:w="7087"/>
              <w:gridCol w:w="3816"/>
            </w:tblGrid>
            <w:tr>
              <w:trPr/>
              <w:tc>
                <w:tcPr>
                  <w:tcW w:w="7087"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ind w:left="-74" w:right="0" w:hanging="0"/>
                    <w:rPr/>
                  </w:pPr>
                  <w:r>
                    <w:rPr>
                      <w:rFonts w:cs="Arial" w:ascii="Arial" w:hAnsi="Arial"/>
                      <w:b/>
                    </w:rPr>
                    <w:t>Date Person Specification prepared/updated: 10</w:t>
                  </w:r>
                  <w:r>
                    <w:rPr>
                      <w:rFonts w:cs="Arial" w:ascii="Arial" w:hAnsi="Arial"/>
                      <w:b/>
                      <w:vertAlign w:val="superscript"/>
                    </w:rPr>
                    <w:t>th</w:t>
                  </w:r>
                  <w:r>
                    <w:rPr>
                      <w:rFonts w:cs="Arial" w:ascii="Arial" w:hAnsi="Arial"/>
                      <w:b/>
                    </w:rPr>
                    <w:t xml:space="preserve"> May 2026</w:t>
                  </w:r>
                </w:p>
              </w:tc>
              <w:tc>
                <w:tcPr>
                  <w:tcW w:w="381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before="0" w:after="0"/>
              <w:rPr>
                <w:rFonts w:ascii="Arial" w:hAnsi="Arial" w:cs="Arial"/>
                <w:b/>
                <w:b/>
              </w:rPr>
            </w:pPr>
            <w:r>
              <w:rPr>
                <w:rFonts w:cs="Arial" w:ascii="Arial" w:hAnsi="Arial"/>
                <w:b/>
              </w:rPr>
            </w:r>
          </w:p>
        </w:tc>
        <w:tc>
          <w:tcPr>
            <w:tcW w:w="31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9321"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 Sue Cornwell</w:t>
            </w:r>
          </w:p>
        </w:tc>
        <w:tc>
          <w:tcPr>
            <w:tcW w:w="31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Normal"/>
        <w:spacing w:lineRule="auto" w:line="256" w:before="0" w:after="160"/>
        <w:rPr/>
      </w:pPr>
      <w:r>
        <w:rPr/>
      </w:r>
      <w:r>
        <w:br w:type="page"/>
      </w:r>
    </w:p>
    <w:p>
      <w:pPr>
        <w:pStyle w:val="Normal"/>
        <w:rPr/>
      </w:pPr>
      <w:r>
        <w:rPr/>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Children’s services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EDUCATIONAL PSYCHOLOGIST</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Knowledge of current legislation, circulars and guidance relating to educational psychology</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Knowledge of Early Years and National Curriculum requirements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Independent self-management, organisational and record-keeping skills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Clear oral and written communication skills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Skill in the use of common psychological assessment techniques appropriate to children’s/young people’s developmental needs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Knowledge of community diversity and its relevance to the practice of educational psychology</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Understanding of the perspectives of partner organisations, and the ability to work in partnership</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tabs>
                <w:tab w:val="left" w:pos="720" w:leader="none"/>
                <w:tab w:val="left" w:pos="1080" w:leader="none"/>
              </w:tabs>
              <w:overflowPunct w:val="true"/>
              <w:spacing w:lineRule="auto" w:line="240" w:before="0" w:after="0"/>
              <w:jc w:val="both"/>
              <w:textAlignment w:val="baseline"/>
              <w:rPr>
                <w:rFonts w:ascii="Arial" w:hAnsi="Arial" w:cs="Arial"/>
              </w:rPr>
            </w:pPr>
            <w:r>
              <w:rPr>
                <w:rFonts w:cs="Arial" w:ascii="Arial" w:hAnsi="Arial"/>
              </w:rPr>
              <w:t>Honours Degree in Psychology (or recognised British Psychological Society equivalent).</w:t>
            </w:r>
          </w:p>
          <w:p>
            <w:pPr>
              <w:pStyle w:val="Normal"/>
              <w:spacing w:before="120" w:after="120"/>
              <w:rPr>
                <w:rFonts w:ascii="Arial" w:hAnsi="Arial" w:cs="Arial"/>
              </w:rPr>
            </w:pPr>
            <w:r>
              <w:rPr>
                <w:rFonts w:cs="Arial" w:ascii="Arial" w:hAnsi="Arial"/>
              </w:rPr>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tabs>
                <w:tab w:val="left" w:pos="720" w:leader="none"/>
                <w:tab w:val="left" w:pos="1080" w:leader="none"/>
              </w:tabs>
              <w:overflowPunct w:val="true"/>
              <w:spacing w:lineRule="auto" w:line="240" w:before="0" w:after="0"/>
              <w:jc w:val="both"/>
              <w:textAlignment w:val="baseline"/>
              <w:rPr>
                <w:rFonts w:ascii="Arial" w:hAnsi="Arial" w:cs="Arial"/>
              </w:rPr>
            </w:pPr>
            <w:r>
              <w:rPr>
                <w:rFonts w:cs="Arial" w:ascii="Arial" w:hAnsi="Arial"/>
              </w:rPr>
              <w:t>Post-graduate qualification in Educational Psychology which will allow professional registration as an Educational Psychologist.</w:t>
            </w:r>
          </w:p>
          <w:p>
            <w:pPr>
              <w:pStyle w:val="Normal"/>
              <w:spacing w:before="120" w:after="120"/>
              <w:rPr>
                <w:rFonts w:ascii="Arial" w:hAnsi="Arial" w:cs="Arial"/>
              </w:rPr>
            </w:pPr>
            <w:r>
              <w:rPr>
                <w:rFonts w:cs="Arial" w:ascii="Arial" w:hAnsi="Arial"/>
              </w:rPr>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Able to work flexible office hours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Satisfactory DBS Disclosure</w:t>
            </w:r>
          </w:p>
        </w:tc>
      </w:tr>
    </w:tbl>
    <w:p>
      <w:pPr>
        <w:pStyle w:val="Normal"/>
        <w:rPr/>
      </w:pPr>
      <w:r>
        <w:rPr/>
      </w:r>
    </w:p>
    <w:tbl>
      <w:tblPr>
        <w:tblW w:w="10914" w:type="dxa"/>
        <w:jc w:val="left"/>
        <w:tblInd w:w="0" w:type="dxa"/>
        <w:tblCellMar>
          <w:top w:w="0" w:type="dxa"/>
          <w:left w:w="108" w:type="dxa"/>
          <w:bottom w:w="0" w:type="dxa"/>
          <w:right w:w="108" w:type="dxa"/>
        </w:tblCellMar>
      </w:tblPr>
      <w:tblGrid>
        <w:gridCol w:w="731"/>
        <w:gridCol w:w="1229"/>
        <w:gridCol w:w="5070"/>
        <w:gridCol w:w="57"/>
        <w:gridCol w:w="3817"/>
        <w:gridCol w:w="10"/>
      </w:tblGrid>
      <w:tr>
        <w:trPr>
          <w:trHeight w:val="653" w:hRule="atLeast"/>
        </w:trPr>
        <w:tc>
          <w:tcPr>
            <w:tcW w:w="196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95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7030" w:type="dxa"/>
            <w:gridSpan w:val="3"/>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884" w:type="dxa"/>
            <w:gridSpan w:val="2"/>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10914"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73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299"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schools at a strategic, whole school level</w:t>
            </w:r>
          </w:p>
        </w:tc>
        <w:tc>
          <w:tcPr>
            <w:tcW w:w="3874"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73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299"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Early Years work and/or Children Looked After work</w:t>
            </w:r>
          </w:p>
        </w:tc>
        <w:tc>
          <w:tcPr>
            <w:tcW w:w="3874"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10914"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73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299"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 years’ experience of working as a qualified or Trainee EP.</w:t>
            </w:r>
          </w:p>
        </w:tc>
        <w:tc>
          <w:tcPr>
            <w:tcW w:w="3874"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73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299"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within a traded service.</w:t>
            </w:r>
          </w:p>
        </w:tc>
        <w:tc>
          <w:tcPr>
            <w:tcW w:w="3874"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7087"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pPr>
            <w:r>
              <w:rPr>
                <w:rFonts w:cs="Arial" w:ascii="Arial" w:hAnsi="Arial"/>
                <w:b/>
              </w:rPr>
              <w:t>Date Person Specification prepared/updated: 10</w:t>
            </w:r>
            <w:r>
              <w:rPr>
                <w:rFonts w:cs="Arial" w:ascii="Arial" w:hAnsi="Arial"/>
                <w:b/>
                <w:vertAlign w:val="superscript"/>
              </w:rPr>
              <w:t>th</w:t>
            </w:r>
            <w:r>
              <w:rPr>
                <w:rFonts w:cs="Arial" w:ascii="Arial" w:hAnsi="Arial"/>
                <w:b/>
              </w:rPr>
              <w:t xml:space="preserve"> May 2026</w:t>
            </w:r>
          </w:p>
        </w:tc>
        <w:tc>
          <w:tcPr>
            <w:tcW w:w="3817"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7087"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 Sue Cornwell</w:t>
            </w:r>
          </w:p>
        </w:tc>
        <w:tc>
          <w:tcPr>
            <w:tcW w:w="3817"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drawing>
          <wp:anchor behindDoc="0" distT="0" distB="0" distL="0" distR="0" simplePos="0" locked="0" layoutInCell="1" allowOverlap="1" relativeHeight="11">
            <wp:simplePos x="0" y="0"/>
            <wp:positionH relativeFrom="column">
              <wp:posOffset>4472940</wp:posOffset>
            </wp:positionH>
            <wp:positionV relativeFrom="paragraph">
              <wp:posOffset>-281940</wp:posOffset>
            </wp:positionV>
            <wp:extent cx="1904365" cy="837565"/>
            <wp:effectExtent l="0" t="0" r="0" b="0"/>
            <wp:wrapNone/>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19" t="-43" r="-19" b="-43"/>
                    <a:stretch>
                      <a:fillRect/>
                    </a:stretch>
                  </pic:blipFill>
                  <pic:spPr bwMode="auto">
                    <a:xfrm>
                      <a:off x="0" y="0"/>
                      <a:ext cx="1904365" cy="837565"/>
                    </a:xfrm>
                    <a:prstGeom prst="rect">
                      <a:avLst/>
                    </a:prstGeom>
                  </pic:spPr>
                </pic:pic>
              </a:graphicData>
            </a:graphic>
          </wp:anchor>
        </w:drawing>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3"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 descr=""/>
                    <pic:cNvPicPr>
                      <a:picLocks noChangeAspect="1" noChangeArrowheads="1"/>
                    </pic:cNvPicPr>
                  </pic:nvPicPr>
                  <pic:blipFill>
                    <a:blip r:embed="rId11"/>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2"/>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2026-05-11T09:36:00Z</dcterms:created>
  <dc:creator>Johnson, Andrew</dc:creator>
  <dc:description/>
  <dc:language>en-US</dc:language>
  <cp:lastModifiedBy>Johnson, Tanya</cp:lastModifiedBy>
  <cp:lastPrinted>1995-11-21T17:41:00Z</cp:lastPrinted>
  <dcterms:modified xsi:type="dcterms:W3CDTF">2026-05-11T09:36:00Z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