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8.png" ContentType="image/png"/>
  <Override PartName="/word/media/image3.jpeg" ContentType="image/jpeg"/>
  <Override PartName="/word/media/image5.png" ContentType="image/png"/>
  <Override PartName="/word/media/image4.jpeg" ContentType="image/jpeg"/>
  <Override PartName="/word/media/image6.png" ContentType="image/png"/>
  <Override PartName="/word/media/image7.png" ContentType="image/png"/>
  <Override PartName="/word/media/image9.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8">
            <wp:simplePos x="0" y="0"/>
            <wp:positionH relativeFrom="column">
              <wp:posOffset>4394835</wp:posOffset>
            </wp:positionH>
            <wp:positionV relativeFrom="paragraph">
              <wp:posOffset>-513080</wp:posOffset>
            </wp:positionV>
            <wp:extent cx="1904365" cy="837565"/>
            <wp:effectExtent l="0" t="0" r="0" b="0"/>
            <wp:wrapNone/>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mc:AlternateContent>
          <mc:Choice Requires="wps">
            <w:drawing>
              <wp:anchor behindDoc="0" distT="0" distB="0" distL="114935" distR="114935" simplePos="0" locked="0" layoutInCell="1" allowOverlap="1" relativeHeight="9">
                <wp:simplePos x="0" y="0"/>
                <wp:positionH relativeFrom="column">
                  <wp:posOffset>-302895</wp:posOffset>
                </wp:positionH>
                <wp:positionV relativeFrom="paragraph">
                  <wp:posOffset>21590</wp:posOffset>
                </wp:positionV>
                <wp:extent cx="2828290" cy="648970"/>
                <wp:effectExtent l="0" t="0" r="0" b="0"/>
                <wp:wrapNone/>
                <wp:docPr id="2" name="Text Box 307"/>
                <a:graphic xmlns:a="http://schemas.openxmlformats.org/drawingml/2006/main">
                  <a:graphicData uri="http://schemas.microsoft.com/office/word/2010/wordprocessingShape">
                    <wps:wsp>
                      <wps:cNvSpPr/>
                      <wps:spPr>
                        <a:xfrm>
                          <a:off x="0" y="0"/>
                          <a:ext cx="2827800" cy="6483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307" fillcolor="white" stroked="f" style="position:absolute;margin-left:-23.85pt;margin-top:1.7pt;width:222.6pt;height:51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11">
                <wp:simplePos x="0" y="0"/>
                <wp:positionH relativeFrom="column">
                  <wp:posOffset>-302895</wp:posOffset>
                </wp:positionH>
                <wp:positionV relativeFrom="paragraph">
                  <wp:posOffset>21590</wp:posOffset>
                </wp:positionV>
                <wp:extent cx="2827655" cy="648335"/>
                <wp:effectExtent l="0" t="0" r="0" b="0"/>
                <wp:wrapNone/>
                <wp:docPr id="3" name="Frame1"/>
                <a:graphic xmlns:a="http://schemas.openxmlformats.org/drawingml/2006/main">
                  <a:graphicData uri="http://schemas.microsoft.com/office/word/2010/wordprocessingShape">
                    <wps:wsp>
                      <wps:cNvSpPr txBox="1"/>
                      <wps:spPr>
                        <a:xfrm>
                          <a:off x="0" y="0"/>
                          <a:ext cx="2827655" cy="648335"/>
                        </a:xfrm>
                        <a:prstGeom prst="rect"/>
                        <a:solidFill>
                          <a:srgbClr val="FFFFFF"/>
                        </a:solidFill>
                      </wps:spPr>
                      <wps:txbx>
                        <w:txbxContent>
                          <w:p>
                            <w:pPr>
                              <w:pStyle w:val="FrameContents"/>
                              <w:spacing w:before="0" w:after="200"/>
                              <w:rPr/>
                            </w:pPr>
                            <w:r>
                              <w:rPr/>
                              <w:drawing>
                                <wp:inline distT="0" distB="0" distL="0" distR="0">
                                  <wp:extent cx="2665730" cy="50927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22.65pt;height:51.05pt;mso-wrap-distance-left:0pt;mso-wrap-distance-right:0pt;mso-wrap-distance-top:5.7pt;mso-wrap-distance-bottom:5.7pt;margin-top:1.7pt;mso-position-vertical-relative:text;margin-left:-23.85pt;mso-position-horizontal-relative:text">
                <v:textbox inset="0.100694444444444in,0.0506944444444444in,0.100694444444444in,0.0506944444444444in">
                  <w:txbxContent>
                    <w:p>
                      <w:pPr>
                        <w:pStyle w:val="FrameContents"/>
                        <w:spacing w:before="0" w:after="200"/>
                        <w:rPr/>
                      </w:pPr>
                      <w:r>
                        <w:rPr/>
                        <w:drawing>
                          <wp:inline distT="0" distB="0" distL="0" distR="0">
                            <wp:extent cx="2665730" cy="509270"/>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rcRect l="-15" t="-80" r="-15" b="-80"/>
                                    <a:stretch>
                                      <a:fillRect/>
                                    </a:stretch>
                                  </pic:blipFill>
                                  <pic:spPr bwMode="auto">
                                    <a:xfrm>
                                      <a:off x="0" y="0"/>
                                      <a:ext cx="2665730" cy="509270"/>
                                    </a:xfrm>
                                    <a:prstGeom prst="rect">
                                      <a:avLst/>
                                    </a:prstGeom>
                                  </pic:spPr>
                                </pic:pic>
                              </a:graphicData>
                            </a:graphic>
                          </wp:inline>
                        </w:drawing>
                      </w:r>
                    </w:p>
                  </w:txbxContent>
                </v:textbox>
              </v:rect>
            </w:pict>
          </mc:Fallback>
        </mc:AlternateContent>
      </w:r>
    </w:p>
    <w:p>
      <w:pPr>
        <w:pStyle w:val="Normal"/>
        <w:rPr>
          <w:rFonts w:eastAsia="Calibri" w:cs="Calibri"/>
        </w:rPr>
      </w:pPr>
      <w:r>
        <w:rPr>
          <w:rFonts w:eastAsia="Calibri" w:cs="Calibri"/>
        </w:rPr>
        <w:t xml:space="preserve">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12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120"/>
              <w:rPr>
                <w:rFonts w:ascii="Arial" w:hAnsi="Arial" w:cs="Arial"/>
                <w:b/>
                <w:b/>
              </w:rPr>
            </w:pPr>
            <w:r>
              <w:rPr>
                <w:rFonts w:cs="Arial" w:ascii="Arial" w:hAnsi="Arial"/>
                <w:b/>
              </w:rPr>
              <w:t>CORPORATE RESOURCES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12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120"/>
              <w:rPr>
                <w:rFonts w:ascii="Arial" w:hAnsi="Arial" w:cs="Arial"/>
              </w:rPr>
            </w:pPr>
            <w:r>
              <w:rPr>
                <w:rFonts w:cs="Arial" w:ascii="Arial" w:hAnsi="Arial"/>
              </w:rPr>
              <w:t>HR ADVISER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12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60"/>
              <w:rPr>
                <w:rFonts w:ascii="Arial" w:hAnsi="Arial" w:cs="Arial"/>
              </w:rPr>
            </w:pPr>
            <w:r>
              <w:rPr>
                <w:rFonts w:cs="Arial" w:ascii="Arial" w:hAnsi="Arial"/>
              </w:rPr>
              <w:t xml:space="preserve">LEVEL 1     GRADE E </w:t>
            </w:r>
          </w:p>
          <w:p>
            <w:pPr>
              <w:pStyle w:val="Normal"/>
              <w:spacing w:lineRule="auto" w:line="240" w:before="0" w:after="60"/>
              <w:rPr>
                <w:rFonts w:ascii="Arial" w:hAnsi="Arial" w:cs="Arial"/>
              </w:rPr>
            </w:pPr>
            <w:r>
              <w:rPr>
                <w:rFonts w:cs="Arial" w:ascii="Arial" w:hAnsi="Arial"/>
              </w:rPr>
              <w:t>LEVEL 2A   GRADE F</w:t>
            </w:r>
          </w:p>
          <w:p>
            <w:pPr>
              <w:pStyle w:val="Normal"/>
              <w:spacing w:lineRule="auto" w:line="240" w:before="0" w:after="60"/>
              <w:rPr>
                <w:rFonts w:ascii="Arial" w:hAnsi="Arial" w:cs="Arial"/>
              </w:rPr>
            </w:pPr>
            <w:r>
              <w:rPr>
                <w:rFonts w:cs="Arial" w:ascii="Arial" w:hAnsi="Arial"/>
              </w:rPr>
              <w:t>LEVEL 2B   GRADE G</w:t>
            </w:r>
          </w:p>
          <w:p>
            <w:pPr>
              <w:pStyle w:val="Normal"/>
              <w:spacing w:lineRule="auto" w:line="240" w:before="0" w:after="60"/>
              <w:rPr>
                <w:rFonts w:ascii="Arial" w:hAnsi="Arial" w:cs="Arial"/>
              </w:rPr>
            </w:pPr>
            <w:r>
              <w:rPr>
                <w:rFonts w:cs="Arial" w:ascii="Arial" w:hAnsi="Arial"/>
              </w:rPr>
              <w:t>LEVEL 3     GRADE H</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12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120"/>
              <w:rPr>
                <w:rFonts w:ascii="Arial" w:hAnsi="Arial" w:cs="Arial"/>
              </w:rPr>
            </w:pPr>
            <w:bookmarkStart w:id="0" w:name="_Hlk173937630"/>
            <w:r>
              <w:rPr>
                <w:rFonts w:cs="Arial" w:ascii="Arial" w:hAnsi="Arial"/>
              </w:rPr>
              <w:t>To provide high-quality, customer-focused HR advice and support to managers and employees, enabling effective people management, organisational change and workforce performance whilst contributing to the continuous development of the Council's people strategy, policies and practices.</w:t>
            </w:r>
            <w:bookmarkEnd w:id="0"/>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12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120"/>
              <w:rPr>
                <w:rFonts w:ascii="Arial" w:hAnsi="Arial" w:cs="Arial"/>
              </w:rPr>
            </w:pPr>
            <w:r>
              <w:rPr>
                <w:rFonts w:cs="Arial" w:ascii="Arial" w:hAnsi="Arial"/>
              </w:rPr>
              <w:t xml:space="preserve">HR Manager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12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At levels 2 to 4 you may be required to lead small teams/project teams as appropriate.</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p>
      <w:pPr>
        <w:pStyle w:val="Normal"/>
        <w:spacing w:lineRule="auto" w:line="240" w:before="0" w:after="120"/>
        <w:rPr>
          <w:rFonts w:ascii="Arial" w:hAnsi="Arial" w:cs="Arial"/>
          <w:b/>
          <w:b/>
        </w:rPr>
      </w:pPr>
      <w:r>
        <w:rPr>
          <w:rFonts w:cs="Arial" w:ascii="Arial" w:hAnsi="Arial"/>
          <w:b/>
        </w:rPr>
        <w:tab/>
        <w:t>CAREER GRADE HR LEVEL 1 (Grade E)</w:t>
      </w:r>
    </w:p>
    <w:tbl>
      <w:tblPr>
        <w:tblW w:w="9637" w:type="dxa"/>
        <w:jc w:val="left"/>
        <w:tblInd w:w="0" w:type="dxa"/>
        <w:tblCellMar>
          <w:top w:w="0" w:type="dxa"/>
          <w:left w:w="108" w:type="dxa"/>
          <w:bottom w:w="0" w:type="dxa"/>
          <w:right w:w="108" w:type="dxa"/>
        </w:tblCellMar>
      </w:tblPr>
      <w:tblGrid>
        <w:gridCol w:w="566"/>
        <w:gridCol w:w="4006"/>
        <w:gridCol w:w="5065"/>
      </w:tblGrid>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1</w:t>
            </w:r>
          </w:p>
        </w:tc>
        <w:tc>
          <w:tcPr>
            <w:tcW w:w="9071" w:type="dxa"/>
            <w:gridSpan w:val="2"/>
            <w:tcBorders/>
            <w:shd w:fill="auto" w:val="clear"/>
          </w:tcPr>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 xml:space="preserve">To work as part of the HR Team to support the delivery of an effective, high-quality service </w:t>
            </w:r>
          </w:p>
        </w:tc>
      </w:tr>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2</w:t>
            </w:r>
          </w:p>
        </w:tc>
        <w:tc>
          <w:tcPr>
            <w:tcW w:w="9071" w:type="dxa"/>
            <w:gridSpan w:val="2"/>
            <w:tcBorders/>
            <w:shd w:fill="auto" w:val="clear"/>
          </w:tcPr>
          <w:p>
            <w:pPr>
              <w:pStyle w:val="Normal"/>
              <w:spacing w:lineRule="auto" w:line="240" w:before="0" w:after="120"/>
              <w:jc w:val="both"/>
              <w:rPr>
                <w:rFonts w:ascii="Arial" w:hAnsi="Arial" w:cs="Arial"/>
              </w:rPr>
            </w:pPr>
            <w:r>
              <w:rPr>
                <w:rFonts w:cs="Arial" w:ascii="Arial" w:hAnsi="Arial"/>
              </w:rPr>
              <w:t>To support Managers in operating the HR policy framework e.g. Recruitment &amp; Selection, Grievance, Disciplinary, Managing Absence and Managing Capability etc.</w:t>
            </w:r>
          </w:p>
        </w:tc>
      </w:tr>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3</w:t>
            </w:r>
          </w:p>
        </w:tc>
        <w:tc>
          <w:tcPr>
            <w:tcW w:w="9071" w:type="dxa"/>
            <w:gridSpan w:val="2"/>
            <w:tcBorders/>
            <w:shd w:fill="auto" w:val="clear"/>
          </w:tcPr>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provide advice and guidance and support to managers and staff in relation to Terms and Conditions and Employee Relations issues</w:t>
            </w:r>
          </w:p>
        </w:tc>
      </w:tr>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4</w:t>
            </w:r>
          </w:p>
        </w:tc>
        <w:tc>
          <w:tcPr>
            <w:tcW w:w="9071" w:type="dxa"/>
            <w:gridSpan w:val="2"/>
            <w:tcBorders/>
            <w:shd w:fill="auto" w:val="clear"/>
          </w:tcPr>
          <w:p>
            <w:pPr>
              <w:pStyle w:val="Normal"/>
              <w:spacing w:lineRule="auto" w:line="240" w:before="0" w:after="120"/>
              <w:rPr>
                <w:rFonts w:ascii="Arial" w:hAnsi="Arial" w:cs="Arial"/>
              </w:rPr>
            </w:pPr>
            <w:r>
              <w:rPr>
                <w:rFonts w:cs="Arial" w:ascii="Arial" w:hAnsi="Arial"/>
              </w:rPr>
              <w:t>To develop and maintain a network of internal and external contacts and sources of information</w:t>
            </w:r>
          </w:p>
        </w:tc>
      </w:tr>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5</w:t>
            </w:r>
          </w:p>
        </w:tc>
        <w:tc>
          <w:tcPr>
            <w:tcW w:w="9071" w:type="dxa"/>
            <w:gridSpan w:val="2"/>
            <w:tcBorders/>
            <w:shd w:fill="auto" w:val="clear"/>
          </w:tcPr>
          <w:p>
            <w:pPr>
              <w:pStyle w:val="Normal"/>
              <w:spacing w:lineRule="auto" w:line="240" w:before="0" w:after="120"/>
              <w:rPr>
                <w:rFonts w:ascii="Arial" w:hAnsi="Arial" w:cs="Arial"/>
              </w:rPr>
            </w:pPr>
            <w:r>
              <w:rPr>
                <w:rFonts w:cs="Arial" w:ascii="Arial" w:hAnsi="Arial"/>
              </w:rPr>
              <w:t>To keep abreast of organisation changes and developments and the impact on the work of the HR Team</w:t>
            </w:r>
          </w:p>
        </w:tc>
      </w:tr>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6</w:t>
            </w:r>
          </w:p>
        </w:tc>
        <w:tc>
          <w:tcPr>
            <w:tcW w:w="9071" w:type="dxa"/>
            <w:gridSpan w:val="2"/>
            <w:tcBorders/>
            <w:shd w:fill="auto" w:val="clear"/>
          </w:tcPr>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access and maintain the HR system and any additional manual information systems that may be required in order to provide accurate information, access to services, advice and support to the team</w:t>
            </w:r>
          </w:p>
        </w:tc>
      </w:tr>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7</w:t>
            </w:r>
          </w:p>
        </w:tc>
        <w:tc>
          <w:tcPr>
            <w:tcW w:w="9071" w:type="dxa"/>
            <w:gridSpan w:val="2"/>
            <w:tcBorders/>
            <w:shd w:fill="auto" w:val="clear"/>
          </w:tcPr>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 xml:space="preserve">To extract, analyse and collate written and numerical information from a variety of sources </w:t>
            </w:r>
          </w:p>
        </w:tc>
      </w:tr>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8</w:t>
            </w:r>
          </w:p>
        </w:tc>
        <w:tc>
          <w:tcPr>
            <w:tcW w:w="9071" w:type="dxa"/>
            <w:gridSpan w:val="2"/>
            <w:tcBorders/>
            <w:shd w:fill="auto" w:val="clear"/>
          </w:tcPr>
          <w:p>
            <w:pPr>
              <w:pStyle w:val="Normal"/>
              <w:spacing w:lineRule="auto" w:line="240" w:before="0" w:after="120"/>
              <w:rPr>
                <w:rFonts w:ascii="Arial" w:hAnsi="Arial" w:cs="Arial"/>
              </w:rPr>
            </w:pPr>
            <w:r>
              <w:rPr>
                <w:rFonts w:cs="Arial" w:ascii="Arial" w:hAnsi="Arial"/>
              </w:rPr>
              <w:t>To liaise and work effectively with other teams within the Division e.g. Occupational Health, Health and Safety, Organisational Development etc.</w:t>
            </w:r>
          </w:p>
        </w:tc>
      </w:tr>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9</w:t>
            </w:r>
          </w:p>
          <w:p>
            <w:pPr>
              <w:pStyle w:val="Normal"/>
              <w:spacing w:lineRule="auto" w:line="264" w:before="0" w:after="80"/>
              <w:rPr>
                <w:rFonts w:ascii="Arial" w:hAnsi="Arial" w:cs="Arial"/>
                <w:b/>
                <w:b/>
              </w:rPr>
            </w:pPr>
            <w:r>
              <w:rPr>
                <w:rFonts w:cs="Arial" w:ascii="Arial" w:hAnsi="Arial"/>
                <w:b/>
              </w:rPr>
            </w:r>
          </w:p>
          <w:p>
            <w:pPr>
              <w:pStyle w:val="Normal"/>
              <w:spacing w:lineRule="auto" w:line="264" w:before="0" w:after="80"/>
              <w:rPr>
                <w:rFonts w:ascii="Arial" w:hAnsi="Arial" w:cs="Arial"/>
                <w:b/>
                <w:b/>
              </w:rPr>
            </w:pPr>
            <w:r>
              <w:rPr>
                <w:rFonts w:cs="Arial" w:ascii="Arial" w:hAnsi="Arial"/>
                <w:b/>
              </w:rPr>
            </w:r>
          </w:p>
          <w:p>
            <w:pPr>
              <w:pStyle w:val="Normal"/>
              <w:spacing w:lineRule="auto" w:line="264" w:before="0" w:after="120"/>
              <w:rPr>
                <w:rFonts w:ascii="Arial" w:hAnsi="Arial" w:cs="Arial"/>
                <w:b/>
                <w:b/>
              </w:rPr>
            </w:pPr>
            <w:r>
              <w:rPr>
                <w:rFonts w:cs="Arial" w:ascii="Arial" w:hAnsi="Arial"/>
                <w:b/>
              </w:rPr>
              <w:t>10</w:t>
            </w:r>
          </w:p>
          <w:p>
            <w:pPr>
              <w:pStyle w:val="Normal"/>
              <w:spacing w:lineRule="auto" w:line="264" w:before="0" w:after="0"/>
              <w:rPr>
                <w:rFonts w:ascii="Arial" w:hAnsi="Arial" w:cs="Arial"/>
                <w:b/>
                <w:b/>
              </w:rPr>
            </w:pPr>
            <w:r>
              <w:rPr>
                <w:rFonts w:cs="Arial" w:ascii="Arial" w:hAnsi="Arial"/>
                <w:b/>
              </w:rPr>
            </w:r>
          </w:p>
          <w:p>
            <w:pPr>
              <w:pStyle w:val="Normal"/>
              <w:spacing w:lineRule="auto" w:line="264" w:before="0" w:after="80"/>
              <w:rPr>
                <w:rFonts w:ascii="Arial" w:hAnsi="Arial" w:cs="Arial"/>
                <w:b/>
                <w:b/>
              </w:rPr>
            </w:pPr>
            <w:r>
              <w:rPr>
                <w:rFonts w:cs="Arial" w:ascii="Arial" w:hAnsi="Arial"/>
                <w:b/>
              </w:rPr>
              <w:t>11</w:t>
            </w:r>
          </w:p>
          <w:p>
            <w:pPr>
              <w:pStyle w:val="Normal"/>
              <w:spacing w:lineRule="auto" w:line="264" w:before="200" w:after="120"/>
              <w:rPr>
                <w:rFonts w:ascii="Arial" w:hAnsi="Arial" w:cs="Arial"/>
                <w:b/>
                <w:b/>
              </w:rPr>
            </w:pPr>
            <w:r>
              <w:rPr>
                <w:rFonts w:cs="Arial" w:ascii="Arial" w:hAnsi="Arial"/>
                <w:b/>
              </w:rPr>
              <w:t>12</w:t>
            </w:r>
          </w:p>
          <w:p>
            <w:pPr>
              <w:pStyle w:val="Normal"/>
              <w:spacing w:lineRule="auto" w:line="264" w:before="0" w:after="120"/>
              <w:rPr>
                <w:rFonts w:ascii="Arial" w:hAnsi="Arial" w:cs="Arial"/>
                <w:b/>
                <w:b/>
              </w:rPr>
            </w:pPr>
            <w:r>
              <w:rPr>
                <w:rFonts w:cs="Arial" w:ascii="Arial" w:hAnsi="Arial"/>
                <w:b/>
              </w:rPr>
            </w:r>
          </w:p>
        </w:tc>
        <w:tc>
          <w:tcPr>
            <w:tcW w:w="9071" w:type="dxa"/>
            <w:gridSpan w:val="2"/>
            <w:tcBorders/>
            <w:shd w:fill="auto" w:val="clear"/>
          </w:tcPr>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Support initiatives which promote employee wellbeing, engagement, inclusion and positive workplace culture</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conduct meetings with staff/managers, providing advice around redeployment, sickness etc.</w:t>
            </w:r>
          </w:p>
          <w:p>
            <w:pPr>
              <w:pStyle w:val="Normal"/>
              <w:spacing w:lineRule="auto" w:line="240" w:before="0" w:after="120"/>
              <w:rPr>
                <w:rFonts w:ascii="Arial" w:hAnsi="Arial" w:cs="Arial"/>
              </w:rPr>
            </w:pPr>
            <w:r>
              <w:rPr>
                <w:rFonts w:cs="Arial" w:ascii="Arial" w:hAnsi="Arial"/>
              </w:rPr>
              <w:t>To undertake relevant professional/management development</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Contribute to the delivery of the Council's workforce and organisational development priorities.</w:t>
            </w:r>
          </w:p>
          <w:p>
            <w:pPr>
              <w:pStyle w:val="Normal"/>
              <w:tabs>
                <w:tab w:val="clear" w:pos="720"/>
                <w:tab w:val="left" w:pos="522" w:leader="none"/>
              </w:tabs>
              <w:spacing w:lineRule="auto" w:line="240" w:before="240" w:after="120"/>
              <w:ind w:left="0" w:right="147" w:hanging="0"/>
              <w:rPr>
                <w:rFonts w:ascii="Arial" w:hAnsi="Arial" w:cs="Arial"/>
                <w:b/>
                <w:b/>
              </w:rPr>
            </w:pPr>
            <w:r>
              <w:rPr>
                <w:rFonts w:cs="Arial" w:ascii="Arial" w:hAnsi="Arial"/>
                <w:b/>
              </w:rPr>
              <w:t>CAREER GRADE HR LEVEL 2A (Grade F)</w:t>
              <w:tab/>
            </w:r>
          </w:p>
        </w:tc>
      </w:tr>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1</w:t>
            </w:r>
          </w:p>
        </w:tc>
        <w:tc>
          <w:tcPr>
            <w:tcW w:w="9071" w:type="dxa"/>
            <w:gridSpan w:val="2"/>
            <w:tcBorders/>
            <w:shd w:fill="auto" w:val="clear"/>
          </w:tcPr>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Fulfilment of all HR Level 1 responsibilities with minimal supervision</w:t>
            </w:r>
          </w:p>
        </w:tc>
      </w:tr>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2</w:t>
            </w:r>
          </w:p>
        </w:tc>
        <w:tc>
          <w:tcPr>
            <w:tcW w:w="9071" w:type="dxa"/>
            <w:gridSpan w:val="2"/>
            <w:tcBorders/>
            <w:shd w:fill="auto" w:val="clear"/>
          </w:tcPr>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advise and support managers in implementing and managing the consequences of organisational change e.g. restructures, redeployment of staff</w:t>
            </w:r>
          </w:p>
        </w:tc>
      </w:tr>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3</w:t>
            </w:r>
          </w:p>
        </w:tc>
        <w:tc>
          <w:tcPr>
            <w:tcW w:w="9071" w:type="dxa"/>
            <w:gridSpan w:val="2"/>
            <w:tcBorders/>
            <w:shd w:fill="auto" w:val="clear"/>
          </w:tcPr>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plan and facilitate consultation with the Trades Unions on proposals and changes, (e.g. providing advice at meetings) to maintain good partnership working.</w:t>
            </w:r>
          </w:p>
        </w:tc>
      </w:tr>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4</w:t>
            </w:r>
          </w:p>
        </w:tc>
        <w:tc>
          <w:tcPr>
            <w:tcW w:w="9071" w:type="dxa"/>
            <w:gridSpan w:val="2"/>
            <w:tcBorders/>
            <w:shd w:fill="auto" w:val="clear"/>
          </w:tcPr>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complete disciplinary, sickness, grievance and managing capability casework process</w:t>
            </w:r>
          </w:p>
        </w:tc>
      </w:tr>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5</w:t>
            </w:r>
          </w:p>
        </w:tc>
        <w:tc>
          <w:tcPr>
            <w:tcW w:w="9071" w:type="dxa"/>
            <w:gridSpan w:val="2"/>
            <w:tcBorders/>
            <w:shd w:fill="auto" w:val="clear"/>
          </w:tcPr>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maintain a practical awareness and understanding of legislative requirements and external best practice in HR delivery and be able to advise managers on current and future provisions in detail</w:t>
            </w:r>
          </w:p>
        </w:tc>
      </w:tr>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6</w:t>
            </w:r>
          </w:p>
        </w:tc>
        <w:tc>
          <w:tcPr>
            <w:tcW w:w="9071" w:type="dxa"/>
            <w:gridSpan w:val="2"/>
            <w:tcBorders/>
            <w:shd w:fill="auto" w:val="clear"/>
          </w:tcPr>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undertake directed research into employment policy and strategy issues using published material, the Internet and liaison with key contacts</w:t>
            </w:r>
          </w:p>
        </w:tc>
      </w:tr>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7</w:t>
            </w:r>
          </w:p>
        </w:tc>
        <w:tc>
          <w:tcPr>
            <w:tcW w:w="9071" w:type="dxa"/>
            <w:gridSpan w:val="2"/>
            <w:tcBorders/>
            <w:shd w:fill="auto" w:val="clear"/>
          </w:tcPr>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interrogate HR management information from various sources and analyse and interpret the results</w:t>
            </w:r>
          </w:p>
        </w:tc>
      </w:tr>
      <w:tr>
        <w:trPr>
          <w:trHeight w:val="506" w:hRule="atLeast"/>
        </w:trPr>
        <w:tc>
          <w:tcPr>
            <w:tcW w:w="566" w:type="dxa"/>
            <w:tcBorders/>
            <w:shd w:fill="auto" w:val="clear"/>
          </w:tcPr>
          <w:p>
            <w:pPr>
              <w:pStyle w:val="Normal"/>
              <w:spacing w:lineRule="auto" w:line="264" w:before="0" w:after="120"/>
              <w:rPr>
                <w:rFonts w:ascii="Arial" w:hAnsi="Arial" w:cs="Arial"/>
                <w:b/>
                <w:b/>
              </w:rPr>
            </w:pPr>
            <w:r>
              <w:rPr>
                <w:rFonts w:cs="Arial" w:ascii="Arial" w:hAnsi="Arial"/>
                <w:b/>
              </w:rPr>
              <w:t>8</w:t>
            </w:r>
          </w:p>
          <w:p>
            <w:pPr>
              <w:pStyle w:val="Normal"/>
              <w:spacing w:lineRule="auto" w:line="264" w:before="0" w:after="0"/>
              <w:rPr>
                <w:rFonts w:ascii="Arial" w:hAnsi="Arial" w:cs="Arial"/>
                <w:b/>
                <w:b/>
              </w:rPr>
            </w:pPr>
            <w:r>
              <w:rPr>
                <w:rFonts w:cs="Arial" w:ascii="Arial" w:hAnsi="Arial"/>
                <w:b/>
              </w:rPr>
            </w:r>
          </w:p>
          <w:p>
            <w:pPr>
              <w:pStyle w:val="Normal"/>
              <w:spacing w:lineRule="auto" w:line="264" w:before="0" w:after="120"/>
              <w:rPr>
                <w:rFonts w:ascii="Arial" w:hAnsi="Arial" w:cs="Arial"/>
                <w:b/>
                <w:b/>
              </w:rPr>
            </w:pPr>
            <w:r>
              <w:rPr>
                <w:rFonts w:cs="Arial" w:ascii="Arial" w:hAnsi="Arial"/>
                <w:b/>
              </w:rPr>
              <w:t>9</w:t>
            </w:r>
          </w:p>
          <w:p>
            <w:pPr>
              <w:pStyle w:val="Normal"/>
              <w:spacing w:lineRule="auto" w:line="264" w:before="120" w:after="120"/>
              <w:rPr>
                <w:rFonts w:ascii="Arial" w:hAnsi="Arial" w:cs="Arial"/>
                <w:b/>
                <w:b/>
              </w:rPr>
            </w:pPr>
            <w:r>
              <w:rPr>
                <w:rFonts w:cs="Arial" w:ascii="Arial" w:hAnsi="Arial"/>
                <w:b/>
              </w:rPr>
              <w:t>10</w:t>
            </w:r>
          </w:p>
          <w:p>
            <w:pPr>
              <w:pStyle w:val="Normal"/>
              <w:spacing w:lineRule="auto" w:line="264" w:before="120" w:after="120"/>
              <w:rPr>
                <w:rFonts w:ascii="Arial" w:hAnsi="Arial" w:cs="Arial"/>
                <w:b/>
                <w:b/>
              </w:rPr>
            </w:pPr>
            <w:r>
              <w:rPr>
                <w:rFonts w:cs="Arial" w:ascii="Arial" w:hAnsi="Arial"/>
                <w:b/>
              </w:rPr>
              <w:t>11</w:t>
            </w:r>
          </w:p>
          <w:p>
            <w:pPr>
              <w:pStyle w:val="Normal"/>
              <w:spacing w:lineRule="auto" w:line="264" w:before="0" w:after="80"/>
              <w:rPr>
                <w:rFonts w:ascii="Arial" w:hAnsi="Arial" w:cs="Arial"/>
                <w:b/>
                <w:b/>
              </w:rPr>
            </w:pPr>
            <w:r>
              <w:rPr>
                <w:rFonts w:cs="Arial" w:ascii="Arial" w:hAnsi="Arial"/>
                <w:b/>
              </w:rPr>
            </w:r>
          </w:p>
          <w:p>
            <w:pPr>
              <w:pStyle w:val="Normal"/>
              <w:spacing w:lineRule="auto" w:line="264" w:before="0" w:after="0"/>
              <w:rPr>
                <w:rFonts w:ascii="Arial" w:hAnsi="Arial" w:cs="Arial"/>
                <w:b/>
                <w:b/>
              </w:rPr>
            </w:pPr>
            <w:r>
              <w:rPr>
                <w:rFonts w:cs="Arial" w:ascii="Arial" w:hAnsi="Arial"/>
                <w:b/>
              </w:rPr>
            </w:r>
          </w:p>
          <w:p>
            <w:pPr>
              <w:pStyle w:val="Normal"/>
              <w:spacing w:lineRule="auto" w:line="264" w:before="0" w:after="120"/>
              <w:rPr>
                <w:rFonts w:ascii="Arial" w:hAnsi="Arial" w:cs="Arial"/>
                <w:b/>
                <w:b/>
              </w:rPr>
            </w:pPr>
            <w:r>
              <w:rPr>
                <w:rFonts w:cs="Arial" w:ascii="Arial" w:hAnsi="Arial"/>
                <w:b/>
              </w:rPr>
              <w:t>1</w:t>
            </w:r>
          </w:p>
          <w:p>
            <w:pPr>
              <w:pStyle w:val="Normal"/>
              <w:spacing w:lineRule="auto" w:line="264" w:before="120" w:after="120"/>
              <w:rPr>
                <w:rFonts w:ascii="Arial" w:hAnsi="Arial" w:cs="Arial"/>
                <w:b/>
                <w:b/>
              </w:rPr>
            </w:pPr>
            <w:r>
              <w:rPr>
                <w:rFonts w:cs="Arial" w:ascii="Arial" w:hAnsi="Arial"/>
                <w:b/>
              </w:rPr>
              <w:t>2</w:t>
            </w:r>
          </w:p>
          <w:p>
            <w:pPr>
              <w:pStyle w:val="Normal"/>
              <w:spacing w:lineRule="auto" w:line="264" w:before="120" w:after="120"/>
              <w:rPr>
                <w:rFonts w:ascii="Arial" w:hAnsi="Arial" w:cs="Arial"/>
                <w:b/>
                <w:b/>
              </w:rPr>
            </w:pPr>
            <w:r>
              <w:rPr>
                <w:rFonts w:cs="Arial" w:ascii="Arial" w:hAnsi="Arial"/>
                <w:b/>
              </w:rPr>
              <w:t>3</w:t>
            </w:r>
          </w:p>
          <w:p>
            <w:pPr>
              <w:pStyle w:val="Normal"/>
              <w:spacing w:lineRule="auto" w:line="264" w:before="120" w:after="0"/>
              <w:rPr>
                <w:rFonts w:ascii="Arial" w:hAnsi="Arial" w:cs="Arial"/>
                <w:b/>
                <w:b/>
              </w:rPr>
            </w:pPr>
            <w:r>
              <w:rPr>
                <w:rFonts w:cs="Arial" w:ascii="Arial" w:hAnsi="Arial"/>
                <w:b/>
              </w:rPr>
              <w:t>4</w:t>
            </w:r>
          </w:p>
          <w:p>
            <w:pPr>
              <w:pStyle w:val="Normal"/>
              <w:spacing w:lineRule="auto" w:line="264" w:before="0" w:after="0"/>
              <w:rPr>
                <w:rFonts w:ascii="Arial" w:hAnsi="Arial" w:cs="Arial"/>
                <w:b/>
                <w:b/>
              </w:rPr>
            </w:pPr>
            <w:r>
              <w:rPr>
                <w:rFonts w:cs="Arial" w:ascii="Arial" w:hAnsi="Arial"/>
                <w:b/>
              </w:rPr>
            </w:r>
          </w:p>
          <w:p>
            <w:pPr>
              <w:pStyle w:val="Normal"/>
              <w:spacing w:lineRule="auto" w:line="264" w:before="120" w:after="120"/>
              <w:rPr>
                <w:rFonts w:ascii="Arial" w:hAnsi="Arial" w:cs="Arial"/>
                <w:b/>
                <w:b/>
              </w:rPr>
            </w:pPr>
            <w:r>
              <w:rPr>
                <w:rFonts w:cs="Arial" w:ascii="Arial" w:hAnsi="Arial"/>
                <w:b/>
              </w:rPr>
              <w:t>5</w:t>
            </w:r>
          </w:p>
          <w:p>
            <w:pPr>
              <w:pStyle w:val="Normal"/>
              <w:spacing w:lineRule="auto" w:line="264" w:before="200" w:after="120"/>
              <w:rPr>
                <w:rFonts w:ascii="Arial" w:hAnsi="Arial" w:cs="Arial"/>
                <w:b/>
                <w:b/>
              </w:rPr>
            </w:pPr>
            <w:r>
              <w:rPr>
                <w:rFonts w:cs="Arial" w:ascii="Arial" w:hAnsi="Arial"/>
                <w:b/>
              </w:rPr>
              <w:t>6</w:t>
            </w:r>
          </w:p>
          <w:p>
            <w:pPr>
              <w:pStyle w:val="Normal"/>
              <w:spacing w:lineRule="auto" w:line="264" w:before="0" w:after="0"/>
              <w:rPr>
                <w:rFonts w:ascii="Arial" w:hAnsi="Arial" w:cs="Arial"/>
                <w:b/>
                <w:b/>
              </w:rPr>
            </w:pPr>
            <w:r>
              <w:rPr>
                <w:rFonts w:cs="Arial" w:ascii="Arial" w:hAnsi="Arial"/>
                <w:b/>
              </w:rPr>
            </w:r>
          </w:p>
          <w:p>
            <w:pPr>
              <w:pStyle w:val="Normal"/>
              <w:spacing w:lineRule="auto" w:line="264" w:before="0" w:after="120"/>
              <w:rPr>
                <w:rFonts w:ascii="Arial" w:hAnsi="Arial" w:cs="Arial"/>
                <w:b/>
                <w:b/>
              </w:rPr>
            </w:pPr>
            <w:r>
              <w:rPr>
                <w:rFonts w:cs="Arial" w:ascii="Arial" w:hAnsi="Arial"/>
                <w:b/>
              </w:rPr>
              <w:t>7</w:t>
            </w:r>
          </w:p>
          <w:p>
            <w:pPr>
              <w:pStyle w:val="Normal"/>
              <w:spacing w:lineRule="auto" w:line="264" w:before="120" w:after="120"/>
              <w:rPr>
                <w:rFonts w:ascii="Arial" w:hAnsi="Arial" w:cs="Arial"/>
                <w:b/>
                <w:b/>
              </w:rPr>
            </w:pPr>
            <w:r>
              <w:rPr>
                <w:rFonts w:cs="Arial" w:ascii="Arial" w:hAnsi="Arial"/>
                <w:b/>
              </w:rPr>
              <w:t>8</w:t>
            </w:r>
          </w:p>
          <w:p>
            <w:pPr>
              <w:pStyle w:val="Normal"/>
              <w:spacing w:lineRule="auto" w:line="264" w:before="120" w:after="0"/>
              <w:rPr>
                <w:rFonts w:ascii="Arial" w:hAnsi="Arial" w:cs="Arial"/>
                <w:b/>
                <w:b/>
              </w:rPr>
            </w:pPr>
            <w:r>
              <w:rPr>
                <w:rFonts w:cs="Arial" w:ascii="Arial" w:hAnsi="Arial"/>
                <w:b/>
              </w:rPr>
            </w:r>
          </w:p>
          <w:p>
            <w:pPr>
              <w:pStyle w:val="Normal"/>
              <w:spacing w:lineRule="auto" w:line="264" w:before="0" w:after="120"/>
              <w:rPr>
                <w:rFonts w:ascii="Arial" w:hAnsi="Arial" w:cs="Arial"/>
                <w:b/>
                <w:b/>
              </w:rPr>
            </w:pPr>
            <w:r>
              <w:rPr>
                <w:rFonts w:cs="Arial" w:ascii="Arial" w:hAnsi="Arial"/>
                <w:b/>
              </w:rPr>
              <w:t>9</w:t>
            </w:r>
          </w:p>
          <w:p>
            <w:pPr>
              <w:pStyle w:val="Normal"/>
              <w:spacing w:lineRule="auto" w:line="264" w:before="120" w:after="120"/>
              <w:rPr>
                <w:rFonts w:ascii="Arial" w:hAnsi="Arial" w:cs="Arial"/>
                <w:b/>
                <w:b/>
              </w:rPr>
            </w:pPr>
            <w:r>
              <w:rPr>
                <w:rFonts w:cs="Arial" w:ascii="Arial" w:hAnsi="Arial"/>
                <w:b/>
              </w:rPr>
              <w:t>10</w:t>
            </w:r>
          </w:p>
          <w:p>
            <w:pPr>
              <w:pStyle w:val="Normal"/>
              <w:spacing w:lineRule="auto" w:line="264" w:before="120" w:after="120"/>
              <w:rPr>
                <w:rFonts w:ascii="Arial" w:hAnsi="Arial" w:cs="Arial"/>
                <w:b/>
                <w:b/>
              </w:rPr>
            </w:pPr>
            <w:r>
              <w:rPr>
                <w:rFonts w:cs="Arial" w:ascii="Arial" w:hAnsi="Arial"/>
                <w:b/>
              </w:rPr>
              <w:t>11</w:t>
            </w:r>
          </w:p>
          <w:p>
            <w:pPr>
              <w:pStyle w:val="Normal"/>
              <w:spacing w:lineRule="auto" w:line="264" w:before="200" w:after="120"/>
              <w:rPr>
                <w:rFonts w:ascii="Arial" w:hAnsi="Arial" w:cs="Arial"/>
                <w:b/>
                <w:b/>
              </w:rPr>
            </w:pPr>
            <w:r>
              <w:rPr>
                <w:rFonts w:cs="Arial" w:ascii="Arial" w:hAnsi="Arial"/>
                <w:b/>
              </w:rPr>
              <w:t>12</w:t>
            </w:r>
          </w:p>
          <w:p>
            <w:pPr>
              <w:pStyle w:val="Normal"/>
              <w:spacing w:lineRule="auto" w:line="264" w:before="200" w:after="120"/>
              <w:rPr>
                <w:rFonts w:ascii="Arial" w:hAnsi="Arial" w:cs="Arial"/>
                <w:b/>
                <w:b/>
              </w:rPr>
            </w:pPr>
            <w:r>
              <w:rPr>
                <w:rFonts w:cs="Arial" w:ascii="Arial" w:hAnsi="Arial"/>
                <w:b/>
              </w:rPr>
            </w:r>
          </w:p>
          <w:p>
            <w:pPr>
              <w:pStyle w:val="Normal"/>
              <w:spacing w:lineRule="auto" w:line="264" w:before="120" w:after="0"/>
              <w:rPr>
                <w:rFonts w:ascii="Arial" w:hAnsi="Arial" w:cs="Arial"/>
                <w:b/>
                <w:b/>
              </w:rPr>
            </w:pPr>
            <w:r>
              <w:rPr>
                <w:rFonts w:cs="Arial" w:ascii="Arial" w:hAnsi="Arial"/>
                <w:b/>
              </w:rPr>
            </w:r>
          </w:p>
          <w:p>
            <w:pPr>
              <w:pStyle w:val="Normal"/>
              <w:spacing w:lineRule="auto" w:line="264" w:before="0" w:after="0"/>
              <w:rPr>
                <w:rFonts w:ascii="Arial" w:hAnsi="Arial" w:cs="Arial"/>
                <w:b/>
                <w:b/>
              </w:rPr>
            </w:pPr>
            <w:r>
              <w:rPr>
                <w:rFonts w:cs="Arial" w:ascii="Arial" w:hAnsi="Arial"/>
                <w:b/>
              </w:rPr>
              <w:t>1</w:t>
            </w:r>
          </w:p>
          <w:p>
            <w:pPr>
              <w:pStyle w:val="Normal"/>
              <w:spacing w:lineRule="auto" w:line="264" w:before="120" w:after="120"/>
              <w:rPr>
                <w:rFonts w:ascii="Arial" w:hAnsi="Arial" w:cs="Arial"/>
                <w:b/>
                <w:b/>
              </w:rPr>
            </w:pPr>
            <w:r>
              <w:rPr>
                <w:rFonts w:cs="Arial" w:ascii="Arial" w:hAnsi="Arial"/>
                <w:b/>
              </w:rPr>
              <w:t>2</w:t>
            </w:r>
          </w:p>
          <w:p>
            <w:pPr>
              <w:pStyle w:val="Normal"/>
              <w:spacing w:lineRule="auto" w:line="264" w:before="200" w:after="120"/>
              <w:rPr>
                <w:rFonts w:ascii="Arial" w:hAnsi="Arial" w:cs="Arial"/>
                <w:b/>
                <w:b/>
              </w:rPr>
            </w:pPr>
            <w:r>
              <w:rPr>
                <w:rFonts w:cs="Arial" w:ascii="Arial" w:hAnsi="Arial"/>
                <w:b/>
              </w:rPr>
              <w:t>3</w:t>
            </w:r>
          </w:p>
          <w:p>
            <w:pPr>
              <w:pStyle w:val="Normal"/>
              <w:spacing w:lineRule="auto" w:line="264" w:before="120" w:after="120"/>
              <w:rPr>
                <w:rFonts w:ascii="Arial" w:hAnsi="Arial" w:cs="Arial"/>
                <w:b/>
                <w:b/>
              </w:rPr>
            </w:pPr>
            <w:r>
              <w:rPr>
                <w:rFonts w:cs="Arial" w:ascii="Arial" w:hAnsi="Arial"/>
                <w:b/>
              </w:rPr>
              <w:t>4</w:t>
            </w:r>
          </w:p>
          <w:p>
            <w:pPr>
              <w:pStyle w:val="Normal"/>
              <w:spacing w:lineRule="auto" w:line="264" w:before="0" w:after="0"/>
              <w:rPr>
                <w:rFonts w:ascii="Arial" w:hAnsi="Arial" w:cs="Arial"/>
                <w:b/>
                <w:b/>
              </w:rPr>
            </w:pPr>
            <w:r>
              <w:rPr>
                <w:rFonts w:cs="Arial" w:ascii="Arial" w:hAnsi="Arial"/>
                <w:b/>
              </w:rPr>
            </w:r>
          </w:p>
          <w:p>
            <w:pPr>
              <w:pStyle w:val="Normal"/>
              <w:spacing w:lineRule="auto" w:line="264" w:before="0" w:after="120"/>
              <w:rPr>
                <w:rFonts w:ascii="Arial" w:hAnsi="Arial" w:cs="Arial"/>
                <w:b/>
                <w:b/>
              </w:rPr>
            </w:pPr>
            <w:r>
              <w:rPr>
                <w:rFonts w:cs="Arial" w:ascii="Arial" w:hAnsi="Arial"/>
                <w:b/>
              </w:rPr>
              <w:t>5</w:t>
            </w:r>
          </w:p>
          <w:p>
            <w:pPr>
              <w:pStyle w:val="Normal"/>
              <w:spacing w:lineRule="auto" w:line="264" w:before="160" w:after="120"/>
              <w:rPr>
                <w:rFonts w:ascii="Arial" w:hAnsi="Arial" w:cs="Arial"/>
                <w:b/>
                <w:b/>
              </w:rPr>
            </w:pPr>
            <w:r>
              <w:rPr>
                <w:rFonts w:cs="Arial" w:ascii="Arial" w:hAnsi="Arial"/>
                <w:b/>
              </w:rPr>
              <w:t>6</w:t>
            </w:r>
          </w:p>
          <w:p>
            <w:pPr>
              <w:pStyle w:val="Normal"/>
              <w:spacing w:lineRule="auto" w:line="264" w:before="0" w:after="0"/>
              <w:rPr>
                <w:rFonts w:ascii="Arial" w:hAnsi="Arial" w:cs="Arial"/>
                <w:b/>
                <w:b/>
              </w:rPr>
            </w:pPr>
            <w:r>
              <w:rPr>
                <w:rFonts w:cs="Arial" w:ascii="Arial" w:hAnsi="Arial"/>
                <w:b/>
              </w:rPr>
            </w:r>
          </w:p>
          <w:p>
            <w:pPr>
              <w:pStyle w:val="Normal"/>
              <w:spacing w:lineRule="auto" w:line="264" w:before="0" w:after="120"/>
              <w:rPr>
                <w:rFonts w:ascii="Arial" w:hAnsi="Arial" w:cs="Arial"/>
                <w:b/>
                <w:b/>
              </w:rPr>
            </w:pPr>
            <w:r>
              <w:rPr>
                <w:rFonts w:cs="Arial" w:ascii="Arial" w:hAnsi="Arial"/>
                <w:b/>
              </w:rPr>
              <w:t>7</w:t>
            </w:r>
          </w:p>
          <w:p>
            <w:pPr>
              <w:pStyle w:val="Normal"/>
              <w:spacing w:lineRule="auto" w:line="264" w:before="200" w:after="120"/>
              <w:rPr>
                <w:rFonts w:ascii="Arial" w:hAnsi="Arial" w:cs="Arial"/>
                <w:b/>
                <w:b/>
              </w:rPr>
            </w:pPr>
            <w:r>
              <w:rPr>
                <w:rFonts w:cs="Arial" w:ascii="Arial" w:hAnsi="Arial"/>
                <w:b/>
              </w:rPr>
              <w:t>8</w:t>
            </w:r>
          </w:p>
          <w:p>
            <w:pPr>
              <w:pStyle w:val="Normal"/>
              <w:spacing w:lineRule="auto" w:line="264" w:before="120" w:after="0"/>
              <w:rPr>
                <w:rFonts w:ascii="Arial" w:hAnsi="Arial" w:cs="Arial"/>
                <w:b/>
                <w:b/>
              </w:rPr>
            </w:pPr>
            <w:r>
              <w:rPr>
                <w:rFonts w:cs="Arial" w:ascii="Arial" w:hAnsi="Arial"/>
                <w:b/>
              </w:rPr>
            </w:r>
          </w:p>
          <w:p>
            <w:pPr>
              <w:pStyle w:val="Normal"/>
              <w:spacing w:lineRule="auto" w:line="264" w:before="0" w:after="0"/>
              <w:rPr>
                <w:rFonts w:ascii="Arial" w:hAnsi="Arial" w:cs="Arial"/>
                <w:b/>
                <w:b/>
              </w:rPr>
            </w:pPr>
            <w:r>
              <w:rPr>
                <w:rFonts w:cs="Arial" w:ascii="Arial" w:hAnsi="Arial"/>
                <w:b/>
              </w:rPr>
              <w:t>9</w:t>
            </w:r>
          </w:p>
          <w:p>
            <w:pPr>
              <w:pStyle w:val="Normal"/>
              <w:spacing w:lineRule="auto" w:line="264" w:before="0" w:after="0"/>
              <w:rPr>
                <w:rFonts w:ascii="Arial" w:hAnsi="Arial" w:cs="Arial"/>
                <w:b/>
                <w:b/>
              </w:rPr>
            </w:pPr>
            <w:r>
              <w:rPr>
                <w:rFonts w:cs="Arial" w:ascii="Arial" w:hAnsi="Arial"/>
                <w:b/>
              </w:rPr>
            </w:r>
          </w:p>
          <w:p>
            <w:pPr>
              <w:pStyle w:val="Normal"/>
              <w:spacing w:lineRule="auto" w:line="264" w:before="120" w:after="120"/>
              <w:rPr>
                <w:rFonts w:ascii="Arial" w:hAnsi="Arial" w:cs="Arial"/>
                <w:b/>
                <w:b/>
              </w:rPr>
            </w:pPr>
            <w:r>
              <w:rPr>
                <w:rFonts w:cs="Arial" w:ascii="Arial" w:hAnsi="Arial"/>
                <w:b/>
              </w:rPr>
              <w:t>10</w:t>
            </w:r>
          </w:p>
        </w:tc>
        <w:tc>
          <w:tcPr>
            <w:tcW w:w="9071" w:type="dxa"/>
            <w:gridSpan w:val="2"/>
            <w:tcBorders/>
            <w:shd w:fill="auto" w:val="clear"/>
          </w:tcPr>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support the production and delivery of team reports and presentations to colleagues and senior managers concerning the strategic HR agenda</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contribute to the continuous development of HR policy and the procedural framework</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 xml:space="preserve">To facilitate and deliver relevant management workshops </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undertake relevant professional/management development</w:t>
            </w:r>
          </w:p>
          <w:p>
            <w:pPr>
              <w:pStyle w:val="Normal"/>
              <w:tabs>
                <w:tab w:val="clear" w:pos="720"/>
                <w:tab w:val="left" w:pos="522" w:leader="none"/>
              </w:tabs>
              <w:spacing w:lineRule="auto" w:line="240" w:before="240" w:after="120"/>
              <w:ind w:left="0" w:right="147" w:hanging="0"/>
              <w:rPr>
                <w:rFonts w:ascii="Arial" w:hAnsi="Arial" w:cs="Arial"/>
                <w:b/>
                <w:b/>
              </w:rPr>
            </w:pPr>
            <w:r>
              <w:rPr>
                <w:rFonts w:cs="Arial" w:ascii="Arial" w:hAnsi="Arial"/>
                <w:b/>
              </w:rPr>
              <w:t>CAREER GRADE HR LEVEL 2B (Grade G)</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Fulfilment of all HR Level 1 and Level 2a responsibilities with little or no supervision</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provide pro-active advice to service managers within their own portfolio of services</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contribute to the on-going development of the Council’s HR policy framework.</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undertake detailed research and analysis into HR management information and produce options and recommendations for improvements.</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represent HR at Departmental and corporate meetings</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coach and support less experienced HR colleagues and contribute to knowledge sharing across the team.</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manage small teams of staff and project teams where required</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analyse workforce data, identify trends and provide evidence-based recommendations to support workforce planning and service improvement.</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produce and deliver complex reports and presentations to a range of customers</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support Managers in resolving complex HR issues, including full casework process</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manage projects, e.g. restructures</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 xml:space="preserve">To identify their own development needs and undertake relevant continuous professional development </w:t>
            </w:r>
          </w:p>
          <w:p>
            <w:pPr>
              <w:pStyle w:val="Normal"/>
              <w:tabs>
                <w:tab w:val="clear" w:pos="720"/>
                <w:tab w:val="left" w:pos="522" w:leader="none"/>
              </w:tabs>
              <w:spacing w:lineRule="auto" w:line="240" w:before="240" w:after="120"/>
              <w:ind w:left="0" w:right="147" w:hanging="0"/>
              <w:rPr>
                <w:rFonts w:ascii="Arial" w:hAnsi="Arial" w:cs="Arial"/>
                <w:b/>
                <w:b/>
                <w:bCs/>
              </w:rPr>
            </w:pPr>
            <w:r>
              <w:rPr>
                <w:rFonts w:cs="Arial" w:ascii="Arial" w:hAnsi="Arial"/>
                <w:b/>
                <w:bCs/>
              </w:rPr>
              <w:t>CAREER GRADE HR LEVEL 3 (Grade H)</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Fulfilment of all HR Level 1 to Level 3 responsibilities with very little or no supervision</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 xml:space="preserve">To manage a departmental HR portfolio of service areas </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lead on policy development research and Corporate HR projects</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develop HR management information systems and tailor complex reports to customer needs, (e.g. trades unions, Departmental Leadership Teams)</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 xml:space="preserve">To lead complex casework issues, completing the full process and presenting to panel </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work effectively with partners and represent the council at regional working groups as required</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deputise for the HR Manager where required</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design, produce and deliver strategic reports and presentations to senior managers and colleagues</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manage HR projects and strategies within services e.g. Savings and Efficiency Reviews, TUPE transfer</w:t>
            </w:r>
          </w:p>
          <w:p>
            <w:pPr>
              <w:pStyle w:val="Normal"/>
              <w:tabs>
                <w:tab w:val="clear" w:pos="720"/>
                <w:tab w:val="left" w:pos="522" w:leader="none"/>
              </w:tabs>
              <w:spacing w:lineRule="auto" w:line="240" w:before="0" w:after="120"/>
              <w:ind w:left="0" w:right="147" w:hanging="0"/>
              <w:rPr>
                <w:rFonts w:ascii="Arial" w:hAnsi="Arial" w:cs="Arial"/>
              </w:rPr>
            </w:pPr>
            <w:r>
              <w:rPr>
                <w:rFonts w:cs="Arial" w:ascii="Arial" w:hAnsi="Arial"/>
              </w:rPr>
              <w:t>To manage their own continuous professional development and maintain professional competence.</w:t>
            </w:r>
          </w:p>
        </w:tc>
      </w:tr>
      <w:tr>
        <w:trPr/>
        <w:tc>
          <w:tcPr>
            <w:tcW w:w="4572" w:type="dxa"/>
            <w:gridSpan w:val="2"/>
            <w:tcBorders/>
            <w:shd w:fill="auto" w:val="clear"/>
          </w:tcPr>
          <w:p>
            <w:pPr>
              <w:pStyle w:val="Normal"/>
              <w:spacing w:lineRule="auto" w:line="264" w:before="0" w:after="12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64" w:before="0" w:after="120"/>
              <w:rPr>
                <w:rFonts w:ascii="Arial" w:hAnsi="Arial" w:cs="Arial"/>
                <w:b/>
                <w:b/>
              </w:rPr>
            </w:pPr>
            <w:r>
              <w:rPr>
                <w:rFonts w:cs="Arial" w:ascii="Arial" w:hAnsi="Arial"/>
                <w:b/>
              </w:rPr>
              <w:t>Updated August 2026</w:t>
            </w:r>
          </w:p>
        </w:tc>
      </w:tr>
      <w:tr>
        <w:trPr/>
        <w:tc>
          <w:tcPr>
            <w:tcW w:w="4572" w:type="dxa"/>
            <w:gridSpan w:val="2"/>
            <w:tcBorders/>
            <w:shd w:fill="auto" w:val="clear"/>
          </w:tcPr>
          <w:p>
            <w:pPr>
              <w:pStyle w:val="Normal"/>
              <w:spacing w:lineRule="auto" w:line="264" w:before="0" w:after="12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64" w:before="0" w:after="120"/>
              <w:rPr>
                <w:rFonts w:ascii="Arial" w:hAnsi="Arial" w:cs="Arial"/>
                <w:b/>
                <w:b/>
              </w:rPr>
            </w:pPr>
            <w:r>
              <w:rPr>
                <w:rFonts w:cs="Arial" w:ascii="Arial" w:hAnsi="Arial"/>
                <w:b/>
              </w:rPr>
              <w:t>Head of Corporate HR</w:t>
            </w:r>
          </w:p>
        </w:tc>
      </w:tr>
    </w:tbl>
    <w:p>
      <w:pPr>
        <w:pStyle w:val="Normal"/>
        <w:rPr/>
      </w:pPr>
      <w:r>
        <w:rPr/>
      </w:r>
    </w:p>
    <w:p>
      <w:pPr>
        <w:pStyle w:val="Normal"/>
        <w:rPr/>
      </w:pPr>
      <w:r>
        <w:rPr/>
      </w:r>
    </w:p>
    <w:p>
      <w:pPr>
        <w:pStyle w:val="Normal"/>
        <w:rPr/>
      </w:pPr>
      <w:r>
        <w:rPr/>
      </w:r>
    </w:p>
    <w:tbl>
      <w:tblPr>
        <w:tblW w:w="9025" w:type="dxa"/>
        <w:jc w:val="left"/>
        <w:tblInd w:w="0" w:type="dxa"/>
        <w:tblCellMar>
          <w:top w:w="0" w:type="dxa"/>
          <w:left w:w="108" w:type="dxa"/>
          <w:bottom w:w="0" w:type="dxa"/>
          <w:right w:w="108" w:type="dxa"/>
        </w:tblCellMar>
      </w:tblPr>
      <w:tblGrid>
        <w:gridCol w:w="1695"/>
        <w:gridCol w:w="7330"/>
      </w:tblGrid>
      <w:tr>
        <w:trPr/>
        <w:tc>
          <w:tcPr>
            <w:tcW w:w="169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120"/>
              <w:rPr>
                <w:rFonts w:ascii="Arial" w:hAnsi="Arial" w:cs="Arial"/>
                <w:b/>
                <w:b/>
                <w:bCs/>
              </w:rPr>
            </w:pPr>
            <w:r>
              <w:rPr>
                <w:rFonts w:cs="Arial" w:ascii="Arial" w:hAnsi="Arial"/>
                <w:b/>
                <w:bCs/>
              </w:rPr>
              <w:t>Level</w:t>
            </w:r>
          </w:p>
        </w:tc>
        <w:tc>
          <w:tcPr>
            <w:tcW w:w="733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120"/>
              <w:rPr>
                <w:rFonts w:ascii="Arial" w:hAnsi="Arial" w:cs="Arial"/>
                <w:b/>
                <w:b/>
                <w:bCs/>
              </w:rPr>
            </w:pPr>
            <w:r>
              <w:rPr>
                <w:rFonts w:cs="Arial" w:ascii="Arial" w:hAnsi="Arial"/>
                <w:b/>
                <w:bCs/>
              </w:rPr>
              <w:t>Typical Focus</w:t>
            </w:r>
          </w:p>
        </w:tc>
      </w:tr>
      <w:tr>
        <w:trPr/>
        <w:tc>
          <w:tcPr>
            <w:tcW w:w="169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120"/>
              <w:rPr>
                <w:rFonts w:ascii="Arial" w:hAnsi="Arial" w:cs="Arial"/>
              </w:rPr>
            </w:pPr>
            <w:r>
              <w:rPr>
                <w:rFonts w:cs="Arial" w:ascii="Arial" w:hAnsi="Arial"/>
              </w:rPr>
              <w:t>Level 1</w:t>
            </w:r>
          </w:p>
        </w:tc>
        <w:tc>
          <w:tcPr>
            <w:tcW w:w="733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120"/>
              <w:rPr>
                <w:rFonts w:ascii="Arial" w:hAnsi="Arial" w:cs="Arial"/>
              </w:rPr>
            </w:pPr>
            <w:r>
              <w:rPr>
                <w:rFonts w:cs="Arial" w:ascii="Arial" w:hAnsi="Arial"/>
              </w:rPr>
              <w:t>Learning and developing HR practice knowledge</w:t>
            </w:r>
          </w:p>
        </w:tc>
      </w:tr>
      <w:tr>
        <w:trPr/>
        <w:tc>
          <w:tcPr>
            <w:tcW w:w="169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120"/>
              <w:rPr>
                <w:rFonts w:ascii="Arial" w:hAnsi="Arial" w:cs="Arial"/>
              </w:rPr>
            </w:pPr>
            <w:r>
              <w:rPr>
                <w:rFonts w:cs="Arial" w:ascii="Arial" w:hAnsi="Arial"/>
              </w:rPr>
              <w:t>Level 2A</w:t>
            </w:r>
          </w:p>
        </w:tc>
        <w:tc>
          <w:tcPr>
            <w:tcW w:w="733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120"/>
              <w:rPr>
                <w:rFonts w:ascii="Arial" w:hAnsi="Arial" w:cs="Arial"/>
              </w:rPr>
            </w:pPr>
            <w:r>
              <w:rPr>
                <w:rFonts w:cs="Arial" w:ascii="Arial" w:hAnsi="Arial"/>
              </w:rPr>
              <w:t>Managing standard casework independently</w:t>
            </w:r>
          </w:p>
        </w:tc>
      </w:tr>
      <w:tr>
        <w:trPr/>
        <w:tc>
          <w:tcPr>
            <w:tcW w:w="169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120"/>
              <w:rPr>
                <w:rFonts w:ascii="Arial" w:hAnsi="Arial" w:cs="Arial"/>
              </w:rPr>
            </w:pPr>
            <w:r>
              <w:rPr>
                <w:rFonts w:cs="Arial" w:ascii="Arial" w:hAnsi="Arial"/>
              </w:rPr>
              <w:t>Level 2B</w:t>
            </w:r>
          </w:p>
        </w:tc>
        <w:tc>
          <w:tcPr>
            <w:tcW w:w="733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120"/>
              <w:rPr>
                <w:rFonts w:ascii="Arial" w:hAnsi="Arial" w:cs="Arial"/>
              </w:rPr>
            </w:pPr>
            <w:r>
              <w:rPr>
                <w:rFonts w:cs="Arial" w:ascii="Arial" w:hAnsi="Arial"/>
              </w:rPr>
              <w:t>Leading complex casework and supporting organisational change</w:t>
            </w:r>
          </w:p>
        </w:tc>
      </w:tr>
      <w:tr>
        <w:trPr/>
        <w:tc>
          <w:tcPr>
            <w:tcW w:w="169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120"/>
              <w:rPr>
                <w:rFonts w:ascii="Arial" w:hAnsi="Arial" w:cs="Arial"/>
              </w:rPr>
            </w:pPr>
            <w:r>
              <w:rPr>
                <w:rFonts w:cs="Arial" w:ascii="Arial" w:hAnsi="Arial"/>
              </w:rPr>
              <w:t>Level 3</w:t>
            </w:r>
          </w:p>
        </w:tc>
        <w:tc>
          <w:tcPr>
            <w:tcW w:w="733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120"/>
              <w:rPr>
                <w:rFonts w:ascii="Arial" w:hAnsi="Arial" w:cs="Arial"/>
              </w:rPr>
            </w:pPr>
            <w:r>
              <w:rPr>
                <w:rFonts w:cs="Arial" w:ascii="Arial" w:hAnsi="Arial"/>
              </w:rPr>
              <w:t>Strategic HR partnering, policy development and project leadership</w:t>
            </w:r>
          </w:p>
        </w:tc>
      </w:tr>
    </w:tbl>
    <w:p>
      <w:pPr>
        <w:pStyle w:val="Normal"/>
        <w:spacing w:lineRule="auto" w:line="256" w:before="0" w:after="160"/>
        <w:rPr/>
      </w:pPr>
      <w:r>
        <w:rPr/>
      </w:r>
      <w:r>
        <w:br w:type="page"/>
      </w:r>
    </w:p>
    <w:p>
      <w:pPr>
        <w:pStyle w:val="Normal"/>
        <w:rPr>
          <w:rFonts w:ascii="Arial" w:hAnsi="Arial" w:cs="Arial"/>
          <w:b/>
          <w:b/>
        </w:rPr>
      </w:pPr>
      <w:r>
        <w:rPr/>
        <w:drawing>
          <wp:inline distT="0" distB="0" distL="0" distR="0">
            <wp:extent cx="3692525" cy="51371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5"/>
                    <a:srcRect l="-12" t="-84" r="-12" b="-84"/>
                    <a:stretch>
                      <a:fillRect/>
                    </a:stretch>
                  </pic:blipFill>
                  <pic:spPr bwMode="auto">
                    <a:xfrm>
                      <a:off x="0" y="0"/>
                      <a:ext cx="3692525" cy="513715"/>
                    </a:xfrm>
                    <a:prstGeom prst="rect">
                      <a:avLst/>
                    </a:prstGeom>
                  </pic:spPr>
                </pic:pic>
              </a:graphicData>
            </a:graphic>
          </wp:inline>
        </w:drawing>
        <w:drawing>
          <wp:anchor behindDoc="0" distT="0" distB="0" distL="0" distR="0" simplePos="0" locked="0" layoutInCell="1" allowOverlap="1" relativeHeight="10">
            <wp:simplePos x="0" y="0"/>
            <wp:positionH relativeFrom="column">
              <wp:posOffset>4648835</wp:posOffset>
            </wp:positionH>
            <wp:positionV relativeFrom="paragraph">
              <wp:posOffset>-678815</wp:posOffset>
            </wp:positionV>
            <wp:extent cx="1904365" cy="837565"/>
            <wp:effectExtent l="0" t="0" r="0" b="0"/>
            <wp:wrapNone/>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4"/>
                    <a:srcRect l="-19" t="-43" r="-19" b="-43"/>
                    <a:stretch>
                      <a:fillRect/>
                    </a:stretch>
                  </pic:blipFill>
                  <pic:spPr bwMode="auto">
                    <a:xfrm>
                      <a:off x="0" y="0"/>
                      <a:ext cx="1904365" cy="837565"/>
                    </a:xfrm>
                    <a:prstGeom prst="rect">
                      <a:avLst/>
                    </a:prstGeom>
                  </pic:spPr>
                </pic:pic>
              </a:graphicData>
            </a:graphic>
          </wp:anchor>
        </w:drawing>
      </w:r>
    </w:p>
    <w:tbl>
      <w:tblPr>
        <w:tblW w:w="10075" w:type="dxa"/>
        <w:jc w:val="left"/>
        <w:tblInd w:w="0" w:type="dxa"/>
        <w:tblCellMar>
          <w:top w:w="0" w:type="dxa"/>
          <w:left w:w="108" w:type="dxa"/>
          <w:bottom w:w="0" w:type="dxa"/>
          <w:right w:w="108" w:type="dxa"/>
        </w:tblCellMar>
      </w:tblPr>
      <w:tblGrid>
        <w:gridCol w:w="566"/>
        <w:gridCol w:w="1101"/>
        <w:gridCol w:w="5846"/>
        <w:gridCol w:w="2552"/>
        <w:gridCol w:w="10"/>
      </w:tblGrid>
      <w:tr>
        <w:trPr/>
        <w:tc>
          <w:tcPr>
            <w:tcW w:w="1667" w:type="dxa"/>
            <w:gridSpan w:val="2"/>
            <w:tcBorders/>
            <w:shd w:fill="auto" w:val="clear"/>
          </w:tcPr>
          <w:p>
            <w:pPr>
              <w:pStyle w:val="Normal"/>
              <w:spacing w:before="60" w:after="60"/>
              <w:rPr>
                <w:rFonts w:ascii="Arial" w:hAnsi="Arial" w:cs="Arial"/>
                <w:b/>
                <w:b/>
              </w:rPr>
            </w:pPr>
            <w:r>
              <w:rPr>
                <w:rFonts w:cs="Arial" w:ascii="Arial" w:hAnsi="Arial"/>
                <w:b/>
              </w:rPr>
              <w:t>Department</w:t>
            </w:r>
          </w:p>
        </w:tc>
        <w:tc>
          <w:tcPr>
            <w:tcW w:w="8398" w:type="dxa"/>
            <w:gridSpan w:val="2"/>
            <w:tcBorders/>
            <w:shd w:fill="auto" w:val="clear"/>
          </w:tcPr>
          <w:p>
            <w:pPr>
              <w:pStyle w:val="Normal"/>
              <w:spacing w:before="60" w:after="60"/>
              <w:rPr>
                <w:rFonts w:ascii="Arial" w:hAnsi="Arial" w:cs="Arial"/>
                <w:b/>
                <w:b/>
              </w:rPr>
            </w:pPr>
            <w:r>
              <w:rPr>
                <w:rFonts w:cs="Arial" w:ascii="Arial" w:hAnsi="Arial"/>
                <w:b/>
              </w:rPr>
              <w:t>CORPORATE RESOURCES</w:t>
            </w:r>
          </w:p>
        </w:tc>
      </w:tr>
      <w:tr>
        <w:trPr/>
        <w:tc>
          <w:tcPr>
            <w:tcW w:w="1667" w:type="dxa"/>
            <w:gridSpan w:val="2"/>
            <w:tcBorders>
              <w:bottom w:val="single" w:sz="4" w:space="0" w:color="000000"/>
            </w:tcBorders>
            <w:shd w:fill="auto" w:val="clear"/>
          </w:tcPr>
          <w:p>
            <w:pPr>
              <w:pStyle w:val="Normal"/>
              <w:spacing w:before="60" w:after="240"/>
              <w:rPr>
                <w:rFonts w:ascii="Arial" w:hAnsi="Arial" w:cs="Arial"/>
                <w:b/>
                <w:b/>
              </w:rPr>
            </w:pPr>
            <w:r>
              <w:rPr>
                <w:rFonts w:cs="Arial" w:ascii="Arial" w:hAnsi="Arial"/>
                <w:b/>
              </w:rPr>
              <w:t>Job Title</w:t>
            </w:r>
          </w:p>
        </w:tc>
        <w:tc>
          <w:tcPr>
            <w:tcW w:w="8398" w:type="dxa"/>
            <w:gridSpan w:val="2"/>
            <w:tcBorders>
              <w:bottom w:val="single" w:sz="4" w:space="0" w:color="000000"/>
            </w:tcBorders>
            <w:shd w:fill="auto" w:val="clear"/>
          </w:tcPr>
          <w:p>
            <w:pPr>
              <w:pStyle w:val="Normal"/>
              <w:spacing w:before="60" w:after="60"/>
              <w:rPr>
                <w:rFonts w:ascii="Arial" w:hAnsi="Arial" w:cs="Arial"/>
                <w:b/>
                <w:b/>
                <w:caps/>
              </w:rPr>
            </w:pPr>
            <w:r>
              <w:rPr>
                <w:rFonts w:cs="Arial" w:ascii="Arial" w:hAnsi="Arial"/>
                <w:b/>
                <w:caps/>
              </w:rPr>
              <w:t>HR Adviser</w:t>
            </w:r>
          </w:p>
        </w:tc>
      </w:tr>
      <w:tr>
        <w:trPr/>
        <w:tc>
          <w:tcPr>
            <w:tcW w:w="1667" w:type="dxa"/>
            <w:gridSpan w:val="2"/>
            <w:tcBorders>
              <w:top w:val="single" w:sz="4" w:space="0" w:color="000000"/>
              <w:left w:val="single" w:sz="4" w:space="0" w:color="000000"/>
              <w:bottom w:val="single" w:sz="4" w:space="0" w:color="000000"/>
            </w:tcBorders>
            <w:shd w:fill="auto" w:val="clear"/>
          </w:tcPr>
          <w:p>
            <w:pPr>
              <w:pStyle w:val="Normal"/>
              <w:spacing w:before="60" w:after="240"/>
              <w:rPr>
                <w:rFonts w:ascii="Arial" w:hAnsi="Arial" w:cs="Arial"/>
                <w:b/>
                <w:b/>
              </w:rPr>
            </w:pPr>
            <w:r>
              <w:rPr>
                <w:rFonts w:cs="Arial" w:ascii="Arial" w:hAnsi="Arial"/>
                <w:b/>
              </w:rPr>
              <w:t>Stage One</w:t>
            </w:r>
          </w:p>
        </w:tc>
        <w:tc>
          <w:tcPr>
            <w:tcW w:w="84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are guaranteed an interview if they meet the essential criteria for the role</w:t>
            </w:r>
          </w:p>
        </w:tc>
      </w:tr>
      <w:tr>
        <w:trPr/>
        <w:tc>
          <w:tcPr>
            <w:tcW w:w="7513" w:type="dxa"/>
            <w:gridSpan w:val="3"/>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2562"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566"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499" w:type="dxa"/>
            <w:gridSpan w:val="3"/>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566"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947" w:type="dxa"/>
            <w:gridSpan w:val="2"/>
            <w:tcBorders>
              <w:top w:val="single" w:sz="4" w:space="0" w:color="000000"/>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 xml:space="preserve">Able to understand, interpret and apply HR Policy </w:t>
            </w:r>
          </w:p>
        </w:tc>
        <w:tc>
          <w:tcPr>
            <w:tcW w:w="2552"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Application / Interview</w:t>
            </w:r>
          </w:p>
        </w:tc>
      </w:tr>
      <w:tr>
        <w:trPr>
          <w:cantSplit w:val="true"/>
        </w:trPr>
        <w:tc>
          <w:tcPr>
            <w:tcW w:w="566"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6947" w:type="dxa"/>
            <w:gridSpan w:val="2"/>
            <w:tcBorders>
              <w:top w:val="single" w:sz="4" w:space="0" w:color="000000"/>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An up-to-date knowledge and use of employment law</w:t>
            </w:r>
          </w:p>
        </w:tc>
        <w:tc>
          <w:tcPr>
            <w:tcW w:w="2552"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Application / Interview / Assessment</w:t>
            </w:r>
          </w:p>
        </w:tc>
      </w:tr>
      <w:tr>
        <w:trPr>
          <w:cantSplit w:val="true"/>
        </w:trPr>
        <w:tc>
          <w:tcPr>
            <w:tcW w:w="566"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6947" w:type="dxa"/>
            <w:gridSpan w:val="2"/>
            <w:tcBorders>
              <w:top w:val="single" w:sz="4" w:space="0" w:color="000000"/>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Able to communicate clearly both verbally and in writing in order to persuade and influence</w:t>
            </w:r>
          </w:p>
        </w:tc>
        <w:tc>
          <w:tcPr>
            <w:tcW w:w="2552"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Interview / Assessment</w:t>
            </w:r>
          </w:p>
        </w:tc>
      </w:tr>
      <w:tr>
        <w:trPr>
          <w:cantSplit w:val="true"/>
        </w:trPr>
        <w:tc>
          <w:tcPr>
            <w:tcW w:w="566" w:type="dxa"/>
            <w:tcBorders>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6947" w:type="dxa"/>
            <w:gridSpan w:val="2"/>
            <w:tcBorders>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Able to plan and prioritise work, whilst retaining flexibility to change work plans to meet new requirements.</w:t>
            </w:r>
          </w:p>
        </w:tc>
        <w:tc>
          <w:tcPr>
            <w:tcW w:w="2552" w:type="dxa"/>
            <w:tcBorders>
              <w:bottom w:val="single" w:sz="4" w:space="0" w:color="000000"/>
            </w:tcBorders>
            <w:shd w:fill="auto" w:val="clear"/>
          </w:tcPr>
          <w:p>
            <w:pPr>
              <w:pStyle w:val="Normal"/>
              <w:spacing w:before="60" w:after="60"/>
              <w:rPr>
                <w:rFonts w:ascii="Arial" w:hAnsi="Arial" w:cs="Arial"/>
              </w:rPr>
            </w:pPr>
            <w:r>
              <w:rPr>
                <w:rFonts w:cs="Arial" w:ascii="Arial" w:hAnsi="Arial"/>
              </w:rPr>
              <w:t>Interview</w:t>
            </w:r>
          </w:p>
        </w:tc>
      </w:tr>
      <w:tr>
        <w:trPr>
          <w:cantSplit w:val="true"/>
        </w:trPr>
        <w:tc>
          <w:tcPr>
            <w:tcW w:w="566" w:type="dxa"/>
            <w:tcBorders>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6947" w:type="dxa"/>
            <w:gridSpan w:val="2"/>
            <w:tcBorders>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Able to form and maintain effective working relationships</w:t>
            </w:r>
          </w:p>
        </w:tc>
        <w:tc>
          <w:tcPr>
            <w:tcW w:w="2552" w:type="dxa"/>
            <w:tcBorders>
              <w:bottom w:val="single" w:sz="4" w:space="0" w:color="000000"/>
            </w:tcBorders>
            <w:shd w:fill="auto" w:val="clear"/>
          </w:tcPr>
          <w:p>
            <w:pPr>
              <w:pStyle w:val="Normal"/>
              <w:spacing w:before="60" w:after="60"/>
              <w:rPr>
                <w:rFonts w:ascii="Arial" w:hAnsi="Arial" w:cs="Arial"/>
              </w:rPr>
            </w:pPr>
            <w:r>
              <w:rPr>
                <w:rFonts w:cs="Arial" w:ascii="Arial" w:hAnsi="Arial"/>
              </w:rPr>
              <w:t>Application / Interview</w:t>
            </w:r>
          </w:p>
        </w:tc>
      </w:tr>
      <w:tr>
        <w:trPr>
          <w:cantSplit w:val="true"/>
        </w:trPr>
        <w:tc>
          <w:tcPr>
            <w:tcW w:w="566" w:type="dxa"/>
            <w:tcBorders>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6947" w:type="dxa"/>
            <w:gridSpan w:val="2"/>
            <w:tcBorders>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An understanding of the importance of Trades Unions and the skills and protocols involved</w:t>
            </w:r>
          </w:p>
        </w:tc>
        <w:tc>
          <w:tcPr>
            <w:tcW w:w="2552" w:type="dxa"/>
            <w:tcBorders>
              <w:bottom w:val="single" w:sz="4" w:space="0" w:color="000000"/>
            </w:tcBorders>
            <w:shd w:fill="auto" w:val="clear"/>
          </w:tcPr>
          <w:p>
            <w:pPr>
              <w:pStyle w:val="Normal"/>
              <w:spacing w:before="60" w:after="60"/>
              <w:rPr>
                <w:rFonts w:ascii="Arial" w:hAnsi="Arial" w:cs="Arial"/>
              </w:rPr>
            </w:pPr>
            <w:r>
              <w:rPr>
                <w:rFonts w:cs="Arial" w:ascii="Arial" w:hAnsi="Arial"/>
              </w:rPr>
              <w:t>Interview</w:t>
            </w:r>
          </w:p>
        </w:tc>
      </w:tr>
      <w:tr>
        <w:trPr>
          <w:cantSplit w:val="true"/>
        </w:trPr>
        <w:tc>
          <w:tcPr>
            <w:tcW w:w="566" w:type="dxa"/>
            <w:tcBorders>
              <w:bottom w:val="single" w:sz="4" w:space="0" w:color="000000"/>
            </w:tcBorders>
            <w:shd w:fill="auto" w:val="clear"/>
          </w:tcPr>
          <w:p>
            <w:pPr>
              <w:pStyle w:val="Normal"/>
              <w:spacing w:before="120" w:after="120"/>
              <w:rPr>
                <w:rFonts w:ascii="Arial" w:hAnsi="Arial" w:cs="Arial"/>
              </w:rPr>
            </w:pPr>
            <w:r>
              <w:rPr>
                <w:rFonts w:cs="Arial" w:ascii="Arial" w:hAnsi="Arial"/>
              </w:rPr>
              <w:t>7.</w:t>
            </w:r>
          </w:p>
        </w:tc>
        <w:tc>
          <w:tcPr>
            <w:tcW w:w="6947" w:type="dxa"/>
            <w:gridSpan w:val="2"/>
            <w:tcBorders>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Able to work on own initiative to be responsive to a varied and competing workload</w:t>
            </w:r>
          </w:p>
        </w:tc>
        <w:tc>
          <w:tcPr>
            <w:tcW w:w="2552" w:type="dxa"/>
            <w:tcBorders>
              <w:bottom w:val="single" w:sz="4" w:space="0" w:color="000000"/>
            </w:tcBorders>
            <w:shd w:fill="auto" w:val="clear"/>
          </w:tcPr>
          <w:p>
            <w:pPr>
              <w:pStyle w:val="Normal"/>
              <w:spacing w:before="60" w:after="60"/>
              <w:rPr>
                <w:rFonts w:ascii="Arial" w:hAnsi="Arial" w:cs="Arial"/>
              </w:rPr>
            </w:pPr>
            <w:r>
              <w:rPr>
                <w:rFonts w:cs="Arial" w:ascii="Arial" w:hAnsi="Arial"/>
              </w:rPr>
              <w:t>Application / Interview</w:t>
            </w:r>
          </w:p>
          <w:p>
            <w:pPr>
              <w:pStyle w:val="Normal"/>
              <w:spacing w:before="60" w:after="60"/>
              <w:rPr>
                <w:rFonts w:ascii="Arial" w:hAnsi="Arial" w:cs="Arial"/>
              </w:rPr>
            </w:pPr>
            <w:r>
              <w:rPr>
                <w:rFonts w:cs="Arial" w:ascii="Arial" w:hAnsi="Arial"/>
              </w:rPr>
            </w:r>
          </w:p>
        </w:tc>
      </w:tr>
      <w:tr>
        <w:trPr>
          <w:cantSplit w:val="true"/>
        </w:trPr>
        <w:tc>
          <w:tcPr>
            <w:tcW w:w="566" w:type="dxa"/>
            <w:tcBorders>
              <w:bottom w:val="single" w:sz="4" w:space="0" w:color="000000"/>
            </w:tcBorders>
            <w:shd w:fill="auto" w:val="clear"/>
          </w:tcPr>
          <w:p>
            <w:pPr>
              <w:pStyle w:val="Normal"/>
              <w:spacing w:before="120" w:after="120"/>
              <w:rPr>
                <w:rFonts w:ascii="Arial" w:hAnsi="Arial" w:cs="Arial"/>
              </w:rPr>
            </w:pPr>
            <w:r>
              <w:rPr>
                <w:rFonts w:cs="Arial" w:ascii="Arial" w:hAnsi="Arial"/>
              </w:rPr>
              <w:t>8.</w:t>
            </w:r>
          </w:p>
        </w:tc>
        <w:tc>
          <w:tcPr>
            <w:tcW w:w="6947" w:type="dxa"/>
            <w:gridSpan w:val="2"/>
            <w:tcBorders>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 xml:space="preserve">An understanding of the Council’s key priorities </w:t>
            </w:r>
          </w:p>
        </w:tc>
        <w:tc>
          <w:tcPr>
            <w:tcW w:w="2552" w:type="dxa"/>
            <w:tcBorders>
              <w:bottom w:val="single" w:sz="4" w:space="0" w:color="000000"/>
            </w:tcBorders>
            <w:shd w:fill="auto" w:val="clear"/>
          </w:tcPr>
          <w:p>
            <w:pPr>
              <w:pStyle w:val="Normal"/>
              <w:spacing w:before="60" w:after="60"/>
              <w:rPr>
                <w:rFonts w:ascii="Arial" w:hAnsi="Arial" w:cs="Arial"/>
              </w:rPr>
            </w:pPr>
            <w:r>
              <w:rPr>
                <w:rFonts w:cs="Arial" w:ascii="Arial" w:hAnsi="Arial"/>
              </w:rPr>
              <w:t xml:space="preserve">Interview </w:t>
            </w:r>
          </w:p>
        </w:tc>
      </w:tr>
      <w:tr>
        <w:trPr>
          <w:cantSplit w:val="true"/>
        </w:trPr>
        <w:tc>
          <w:tcPr>
            <w:tcW w:w="566" w:type="dxa"/>
            <w:tcBorders>
              <w:bottom w:val="single" w:sz="4" w:space="0" w:color="000000"/>
            </w:tcBorders>
            <w:shd w:fill="auto" w:val="clear"/>
          </w:tcPr>
          <w:p>
            <w:pPr>
              <w:pStyle w:val="Normal"/>
              <w:spacing w:before="120" w:after="120"/>
              <w:rPr>
                <w:rFonts w:ascii="Arial" w:hAnsi="Arial" w:cs="Arial"/>
              </w:rPr>
            </w:pPr>
            <w:r>
              <w:rPr>
                <w:rFonts w:cs="Arial" w:ascii="Arial" w:hAnsi="Arial"/>
              </w:rPr>
              <w:t>9.</w:t>
            </w:r>
          </w:p>
        </w:tc>
        <w:tc>
          <w:tcPr>
            <w:tcW w:w="6947" w:type="dxa"/>
            <w:gridSpan w:val="2"/>
            <w:tcBorders>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Ability to use a variety of research and analysis tools including analysis of HRMI, to provide HR information and solutions</w:t>
            </w:r>
          </w:p>
        </w:tc>
        <w:tc>
          <w:tcPr>
            <w:tcW w:w="2552" w:type="dxa"/>
            <w:tcBorders>
              <w:bottom w:val="single" w:sz="4" w:space="0" w:color="000000"/>
            </w:tcBorders>
            <w:shd w:fill="auto" w:val="clear"/>
          </w:tcPr>
          <w:p>
            <w:pPr>
              <w:pStyle w:val="Normal"/>
              <w:spacing w:before="60" w:after="60"/>
              <w:rPr>
                <w:rFonts w:ascii="Arial" w:hAnsi="Arial" w:cs="Arial"/>
              </w:rPr>
            </w:pPr>
            <w:r>
              <w:rPr>
                <w:rFonts w:cs="Arial" w:ascii="Arial" w:hAnsi="Arial"/>
              </w:rPr>
              <w:t>Interview / Assessment</w:t>
            </w:r>
          </w:p>
          <w:p>
            <w:pPr>
              <w:pStyle w:val="Normal"/>
              <w:spacing w:before="60" w:after="60"/>
              <w:rPr>
                <w:rFonts w:ascii="Arial" w:hAnsi="Arial" w:cs="Arial"/>
              </w:rPr>
            </w:pPr>
            <w:r>
              <w:rPr>
                <w:rFonts w:cs="Arial" w:ascii="Arial" w:hAnsi="Arial"/>
              </w:rPr>
            </w:r>
          </w:p>
        </w:tc>
      </w:tr>
      <w:tr>
        <w:trPr>
          <w:cantSplit w:val="true"/>
        </w:trPr>
        <w:tc>
          <w:tcPr>
            <w:tcW w:w="566" w:type="dxa"/>
            <w:tcBorders>
              <w:bottom w:val="single" w:sz="4" w:space="0" w:color="000000"/>
            </w:tcBorders>
            <w:shd w:fill="auto" w:val="clear"/>
          </w:tcPr>
          <w:p>
            <w:pPr>
              <w:pStyle w:val="Normal"/>
              <w:spacing w:before="120" w:after="120"/>
              <w:rPr>
                <w:rFonts w:ascii="Arial" w:hAnsi="Arial" w:cs="Arial"/>
              </w:rPr>
            </w:pPr>
            <w:r>
              <w:rPr>
                <w:rFonts w:cs="Arial" w:ascii="Arial" w:hAnsi="Arial"/>
              </w:rPr>
              <w:t>10.</w:t>
            </w:r>
          </w:p>
        </w:tc>
        <w:tc>
          <w:tcPr>
            <w:tcW w:w="6947" w:type="dxa"/>
            <w:gridSpan w:val="2"/>
            <w:tcBorders>
              <w:bottom w:val="single" w:sz="4" w:space="0" w:color="000000"/>
            </w:tcBorders>
            <w:shd w:fill="auto" w:val="clear"/>
          </w:tcPr>
          <w:p>
            <w:pPr>
              <w:pStyle w:val="Normal"/>
              <w:spacing w:before="60" w:after="60"/>
              <w:ind w:left="0" w:right="175" w:hanging="0"/>
              <w:rPr>
                <w:rFonts w:ascii="Arial" w:hAnsi="Arial" w:cs="Arial"/>
              </w:rPr>
            </w:pPr>
            <w:r>
              <w:rPr>
                <w:rFonts w:cs="Arial" w:ascii="Arial" w:hAnsi="Arial"/>
              </w:rPr>
              <w:t>To validate management proposals and provide legally compliant HR advice in line with our policy framework and best practice</w:t>
            </w:r>
          </w:p>
        </w:tc>
        <w:tc>
          <w:tcPr>
            <w:tcW w:w="2552" w:type="dxa"/>
            <w:tcBorders>
              <w:bottom w:val="single" w:sz="4" w:space="0" w:color="000000"/>
            </w:tcBorders>
            <w:shd w:fill="auto" w:val="clear"/>
          </w:tcPr>
          <w:p>
            <w:pPr>
              <w:pStyle w:val="Normal"/>
              <w:spacing w:before="60" w:after="60"/>
              <w:rPr>
                <w:rFonts w:ascii="Arial" w:hAnsi="Arial" w:cs="Arial"/>
              </w:rPr>
            </w:pPr>
            <w:r>
              <w:rPr>
                <w:rFonts w:cs="Arial" w:ascii="Arial" w:hAnsi="Arial"/>
              </w:rPr>
              <w:t>Interview / Assessment</w:t>
            </w:r>
          </w:p>
        </w:tc>
      </w:tr>
      <w:tr>
        <w:trPr>
          <w:cantSplit w:val="true"/>
        </w:trPr>
        <w:tc>
          <w:tcPr>
            <w:tcW w:w="566" w:type="dxa"/>
            <w:tcBorders>
              <w:bottom w:val="single" w:sz="4" w:space="0" w:color="000000"/>
            </w:tcBorders>
            <w:shd w:fill="auto" w:val="clear"/>
          </w:tcPr>
          <w:p>
            <w:pPr>
              <w:pStyle w:val="Normal"/>
              <w:spacing w:before="120" w:after="120"/>
              <w:rPr>
                <w:rFonts w:ascii="Arial" w:hAnsi="Arial" w:cs="Arial"/>
              </w:rPr>
            </w:pPr>
            <w:r>
              <w:rPr>
                <w:rFonts w:cs="Arial" w:ascii="Arial" w:hAnsi="Arial"/>
              </w:rPr>
              <w:t>11.</w:t>
            </w:r>
          </w:p>
        </w:tc>
        <w:tc>
          <w:tcPr>
            <w:tcW w:w="6947" w:type="dxa"/>
            <w:gridSpan w:val="2"/>
            <w:tcBorders>
              <w:bottom w:val="single" w:sz="4" w:space="0" w:color="000000"/>
            </w:tcBorders>
            <w:shd w:fill="auto" w:val="clear"/>
          </w:tcPr>
          <w:p>
            <w:pPr>
              <w:pStyle w:val="Normal"/>
              <w:spacing w:before="60" w:after="60"/>
              <w:ind w:left="0" w:right="175" w:hanging="0"/>
              <w:rPr/>
            </w:pPr>
            <w:r>
              <w:rPr>
                <w:rFonts w:cs="Arial" w:ascii="Arial" w:hAnsi="Arial"/>
                <w:b/>
              </w:rPr>
              <w:t>Competencies</w:t>
            </w:r>
            <w:r>
              <w:rPr>
                <w:rFonts w:cs="Arial" w:ascii="Arial" w:hAnsi="Arial"/>
              </w:rPr>
              <w:t xml:space="preserve"> Please note the council’s corporate competencies, which are essential for all roles, are below in the Core Competencies section</w:t>
            </w:r>
          </w:p>
        </w:tc>
        <w:tc>
          <w:tcPr>
            <w:tcW w:w="2552" w:type="dxa"/>
            <w:tcBorders>
              <w:bottom w:val="single" w:sz="4" w:space="0" w:color="000000"/>
            </w:tcBorders>
            <w:shd w:fill="auto" w:val="clear"/>
          </w:tcPr>
          <w:p>
            <w:pPr>
              <w:pStyle w:val="Normal"/>
              <w:spacing w:before="60" w:after="60"/>
              <w:rPr>
                <w:rFonts w:ascii="Arial" w:hAnsi="Arial" w:cs="Arial"/>
              </w:rPr>
            </w:pPr>
            <w:r>
              <w:rPr>
                <w:rFonts w:cs="Arial" w:ascii="Arial" w:hAnsi="Arial"/>
              </w:rPr>
              <w:t>Interview</w:t>
            </w:r>
          </w:p>
        </w:tc>
      </w:tr>
    </w:tbl>
    <w:p>
      <w:pPr>
        <w:pStyle w:val="Normal"/>
        <w:spacing w:before="0" w:after="0"/>
        <w:rPr/>
      </w:pPr>
      <w:r>
        <w:rPr/>
      </w:r>
    </w:p>
    <w:tbl>
      <w:tblPr>
        <w:tblW w:w="10070" w:type="dxa"/>
        <w:jc w:val="left"/>
        <w:tblInd w:w="0" w:type="dxa"/>
        <w:tblCellMar>
          <w:top w:w="0" w:type="dxa"/>
          <w:left w:w="108" w:type="dxa"/>
          <w:bottom w:w="0" w:type="dxa"/>
          <w:right w:w="108" w:type="dxa"/>
        </w:tblCellMar>
      </w:tblPr>
      <w:tblGrid>
        <w:gridCol w:w="561"/>
        <w:gridCol w:w="6946"/>
        <w:gridCol w:w="2563"/>
      </w:tblGrid>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1.</w:t>
            </w:r>
          </w:p>
        </w:tc>
        <w:tc>
          <w:tcPr>
            <w:tcW w:w="6946" w:type="dxa"/>
            <w:tcBorders>
              <w:top w:val="single" w:sz="4" w:space="0" w:color="000000"/>
              <w:bottom w:val="single" w:sz="4" w:space="0" w:color="000000"/>
            </w:tcBorders>
            <w:shd w:fill="auto" w:val="clear"/>
          </w:tcPr>
          <w:p>
            <w:pPr>
              <w:pStyle w:val="Normal"/>
              <w:spacing w:before="60" w:after="60"/>
              <w:rPr/>
            </w:pPr>
            <w:r>
              <w:rPr>
                <w:rFonts w:cs="Arial" w:ascii="Arial" w:hAnsi="Arial"/>
                <w:b/>
              </w:rPr>
              <w:t>CAREER GRADE HR LEVEL 1</w:t>
            </w:r>
            <w:r>
              <w:rPr>
                <w:rFonts w:cs="Arial" w:ascii="Arial" w:hAnsi="Arial"/>
              </w:rPr>
              <w:t xml:space="preserve"> – Working towards or holding an appropriate CIPD qualification or equivalent professional qualification.  </w:t>
            </w:r>
          </w:p>
        </w:tc>
        <w:tc>
          <w:tcPr>
            <w:tcW w:w="256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Application / Proof of qualification</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2.</w:t>
            </w:r>
          </w:p>
        </w:tc>
        <w:tc>
          <w:tcPr>
            <w:tcW w:w="694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 xml:space="preserve">Efficient in the use of Microsoft Office </w:t>
            </w:r>
          </w:p>
        </w:tc>
        <w:tc>
          <w:tcPr>
            <w:tcW w:w="256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Application</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3.</w:t>
            </w:r>
          </w:p>
        </w:tc>
        <w:tc>
          <w:tcPr>
            <w:tcW w:w="694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Experience of working within an HR environment</w:t>
            </w:r>
          </w:p>
        </w:tc>
        <w:tc>
          <w:tcPr>
            <w:tcW w:w="256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Interview</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4.</w:t>
            </w:r>
          </w:p>
        </w:tc>
        <w:tc>
          <w:tcPr>
            <w:tcW w:w="6946" w:type="dxa"/>
            <w:tcBorders>
              <w:top w:val="single" w:sz="4" w:space="0" w:color="000000"/>
              <w:bottom w:val="single" w:sz="4" w:space="0" w:color="000000"/>
            </w:tcBorders>
            <w:shd w:fill="auto" w:val="clear"/>
          </w:tcPr>
          <w:p>
            <w:pPr>
              <w:pStyle w:val="Normal"/>
              <w:spacing w:before="60" w:after="60"/>
              <w:rPr/>
            </w:pPr>
            <w:r>
              <w:rPr>
                <w:rFonts w:cs="Arial" w:ascii="Arial" w:hAnsi="Arial"/>
                <w:b/>
              </w:rPr>
              <w:t>CAREER GRADE HR LEVEL 2a</w:t>
            </w:r>
            <w:r>
              <w:rPr>
                <w:rFonts w:cs="Arial" w:ascii="Arial" w:hAnsi="Arial"/>
              </w:rPr>
              <w:t xml:space="preserve"> - candidate in final year of CIPD and writing work-related dissertation, with HR experience (providing advice, casework etc) or fully qualified with limited experience</w:t>
            </w:r>
          </w:p>
        </w:tc>
        <w:tc>
          <w:tcPr>
            <w:tcW w:w="256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Application / Proof of qualification</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5.</w:t>
            </w:r>
          </w:p>
        </w:tc>
        <w:tc>
          <w:tcPr>
            <w:tcW w:w="694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Fully competent in Microsoft Office and experience of producing and analysing HRMI</w:t>
            </w:r>
          </w:p>
        </w:tc>
        <w:tc>
          <w:tcPr>
            <w:tcW w:w="256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 xml:space="preserve">Application </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6.</w:t>
            </w:r>
          </w:p>
        </w:tc>
        <w:tc>
          <w:tcPr>
            <w:tcW w:w="6946" w:type="dxa"/>
            <w:tcBorders>
              <w:top w:val="single" w:sz="4" w:space="0" w:color="000000"/>
              <w:bottom w:val="single" w:sz="4" w:space="0" w:color="000000"/>
            </w:tcBorders>
            <w:shd w:fill="auto" w:val="clear"/>
          </w:tcPr>
          <w:p>
            <w:pPr>
              <w:pStyle w:val="Normal"/>
              <w:spacing w:before="60" w:after="60"/>
              <w:rPr/>
            </w:pPr>
            <w:r>
              <w:rPr>
                <w:rFonts w:cs="Arial" w:ascii="Arial" w:hAnsi="Arial"/>
                <w:b/>
              </w:rPr>
              <w:t>CAREER GRADE HR LEVEL 2b</w:t>
            </w:r>
            <w:r>
              <w:rPr>
                <w:rFonts w:cs="Arial" w:ascii="Arial" w:hAnsi="Arial"/>
              </w:rPr>
              <w:t xml:space="preserve"> – Fully qualified Graduate CIPD demonstrating appropriate CPD.</w:t>
            </w:r>
          </w:p>
        </w:tc>
        <w:tc>
          <w:tcPr>
            <w:tcW w:w="256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Application / Proof of qualification</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7.</w:t>
            </w:r>
          </w:p>
        </w:tc>
        <w:tc>
          <w:tcPr>
            <w:tcW w:w="694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Experience of working in HR and delivering HR interventions e.g. full casework process, restructures</w:t>
            </w:r>
          </w:p>
        </w:tc>
        <w:tc>
          <w:tcPr>
            <w:tcW w:w="256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Application</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8.</w:t>
            </w:r>
          </w:p>
        </w:tc>
        <w:tc>
          <w:tcPr>
            <w:tcW w:w="6946" w:type="dxa"/>
            <w:tcBorders>
              <w:top w:val="single" w:sz="4" w:space="0" w:color="000000"/>
              <w:bottom w:val="single" w:sz="4" w:space="0" w:color="000000"/>
            </w:tcBorders>
            <w:shd w:fill="auto" w:val="clear"/>
          </w:tcPr>
          <w:p>
            <w:pPr>
              <w:pStyle w:val="Normal"/>
              <w:spacing w:before="60" w:after="60"/>
              <w:rPr/>
            </w:pPr>
            <w:r>
              <w:rPr>
                <w:rFonts w:cs="Arial" w:ascii="Arial" w:hAnsi="Arial"/>
                <w:b/>
              </w:rPr>
              <w:t xml:space="preserve">CAREER GRADE HR LEVEL 3 </w:t>
            </w:r>
            <w:r>
              <w:rPr>
                <w:rFonts w:cs="Arial" w:ascii="Arial" w:hAnsi="Arial"/>
              </w:rPr>
              <w:t>– Fully qualified Graduate CIPD (Level 5) demonstrating appropriate CPD with management and extended HR experience</w:t>
            </w:r>
          </w:p>
        </w:tc>
        <w:tc>
          <w:tcPr>
            <w:tcW w:w="256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Application / Proof of qualification</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9.</w:t>
            </w:r>
          </w:p>
        </w:tc>
        <w:tc>
          <w:tcPr>
            <w:tcW w:w="694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Experience of managing projects and casework</w:t>
            </w:r>
          </w:p>
        </w:tc>
        <w:tc>
          <w:tcPr>
            <w:tcW w:w="256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Application</w:t>
            </w:r>
          </w:p>
        </w:tc>
      </w:tr>
      <w:tr>
        <w:trPr>
          <w:cantSplit w:val="true"/>
        </w:trPr>
        <w:tc>
          <w:tcPr>
            <w:tcW w:w="10070"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1.</w:t>
            </w:r>
          </w:p>
        </w:tc>
        <w:tc>
          <w:tcPr>
            <w:tcW w:w="694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256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 xml:space="preserve">Interview </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2.</w:t>
            </w:r>
          </w:p>
        </w:tc>
        <w:tc>
          <w:tcPr>
            <w:tcW w:w="694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256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 xml:space="preserve">Interview </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3.</w:t>
            </w:r>
          </w:p>
        </w:tc>
        <w:tc>
          <w:tcPr>
            <w:tcW w:w="694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 xml:space="preserve">This role requires the job holder to work flexible hours, outside of normal office hours, for example at evenings and weekends, to meet the needs of the service. </w:t>
            </w:r>
          </w:p>
        </w:tc>
        <w:tc>
          <w:tcPr>
            <w:tcW w:w="256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Interview</w:t>
            </w:r>
          </w:p>
        </w:tc>
      </w:tr>
      <w:tr>
        <w:trPr>
          <w:cantSplit w:val="true"/>
        </w:trPr>
        <w:tc>
          <w:tcPr>
            <w:tcW w:w="561"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4.</w:t>
            </w:r>
          </w:p>
        </w:tc>
        <w:tc>
          <w:tcPr>
            <w:tcW w:w="6946"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Ability to travel effectively around the Borough</w:t>
            </w:r>
          </w:p>
        </w:tc>
        <w:tc>
          <w:tcPr>
            <w:tcW w:w="256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rPr>
            </w:pPr>
            <w:r>
              <w:rPr>
                <w:rFonts w:cs="Arial" w:ascii="Arial" w:hAnsi="Arial"/>
              </w:rPr>
              <w:t>Interview</w:t>
            </w:r>
          </w:p>
        </w:tc>
      </w:tr>
    </w:tbl>
    <w:p>
      <w:pPr>
        <w:pStyle w:val="Normal"/>
        <w:spacing w:before="0" w:after="0"/>
        <w:rPr/>
      </w:pPr>
      <w:r>
        <w:rPr/>
      </w:r>
    </w:p>
    <w:tbl>
      <w:tblPr>
        <w:tblW w:w="10070" w:type="dxa"/>
        <w:jc w:val="left"/>
        <w:tblInd w:w="0" w:type="dxa"/>
        <w:tblCellMar>
          <w:top w:w="0" w:type="dxa"/>
          <w:left w:w="108" w:type="dxa"/>
          <w:bottom w:w="0" w:type="dxa"/>
          <w:right w:w="108" w:type="dxa"/>
        </w:tblCellMar>
      </w:tblPr>
      <w:tblGrid>
        <w:gridCol w:w="675"/>
        <w:gridCol w:w="1133"/>
        <w:gridCol w:w="5275"/>
        <w:gridCol w:w="2977"/>
        <w:gridCol w:w="10"/>
      </w:tblGrid>
      <w:tr>
        <w:trPr>
          <w:trHeight w:val="653" w:hRule="atLeast"/>
        </w:trPr>
        <w:tc>
          <w:tcPr>
            <w:tcW w:w="1808" w:type="dxa"/>
            <w:gridSpan w:val="2"/>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rFonts w:ascii="Arial" w:hAnsi="Arial" w:cs="Arial"/>
                <w:b/>
                <w:b/>
                <w:sz w:val="20"/>
                <w:szCs w:val="20"/>
              </w:rPr>
            </w:pPr>
            <w:r>
              <w:rPr>
                <w:rFonts w:cs="Arial" w:ascii="Arial" w:hAnsi="Arial"/>
                <w:b/>
                <w:sz w:val="20"/>
                <w:szCs w:val="20"/>
              </w:rPr>
              <w:t>STAGE TWO</w:t>
            </w:r>
          </w:p>
        </w:tc>
        <w:tc>
          <w:tcPr>
            <w:tcW w:w="826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rFonts w:ascii="Arial" w:hAnsi="Arial" w:cs="Arial"/>
                <w:sz w:val="20"/>
                <w:szCs w:val="20"/>
              </w:rPr>
            </w:pPr>
            <w:r>
              <w:rPr>
                <w:rFonts w:cs="Arial" w:ascii="Arial" w:hAnsi="Arial"/>
                <w:sz w:val="20"/>
                <w:szCs w:val="20"/>
              </w:rPr>
              <w:t>Will only be used in the event of a large number of applicants meeting the minimum essential requirements</w:t>
            </w:r>
          </w:p>
        </w:tc>
      </w:tr>
      <w:tr>
        <w:trPr/>
        <w:tc>
          <w:tcPr>
            <w:tcW w:w="7083" w:type="dxa"/>
            <w:gridSpan w:val="3"/>
            <w:tcBorders>
              <w:top w:val="single" w:sz="4" w:space="0" w:color="000000"/>
              <w:left w:val="single" w:sz="4" w:space="0" w:color="000000"/>
              <w:bottom w:val="single" w:sz="4" w:space="0" w:color="000000"/>
            </w:tcBorders>
            <w:shd w:fill="0A0A0A" w:val="clear"/>
          </w:tcPr>
          <w:p>
            <w:pPr>
              <w:pStyle w:val="Normal"/>
              <w:spacing w:before="80" w:after="80"/>
              <w:rPr>
                <w:rFonts w:ascii="Arial" w:hAnsi="Arial" w:cs="Arial"/>
                <w:b/>
                <w:b/>
                <w:color w:val="FFFFFF"/>
              </w:rPr>
            </w:pPr>
            <w:r>
              <w:rPr>
                <w:rFonts w:cs="Arial" w:ascii="Arial" w:hAnsi="Arial"/>
                <w:b/>
                <w:color w:val="FFFFFF"/>
              </w:rPr>
              <w:t>Additional Requirements</w:t>
            </w:r>
          </w:p>
        </w:tc>
        <w:tc>
          <w:tcPr>
            <w:tcW w:w="2987"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80" w:after="80"/>
              <w:rPr>
                <w:rFonts w:ascii="Arial" w:hAnsi="Arial" w:cs="Arial"/>
                <w:b/>
                <w:b/>
                <w:color w:val="FFFFFF"/>
              </w:rPr>
            </w:pPr>
            <w:r>
              <w:rPr>
                <w:rFonts w:cs="Arial" w:ascii="Arial" w:hAnsi="Arial"/>
                <w:b/>
                <w:color w:val="FFFFFF"/>
              </w:rPr>
              <w:t>Method of Assessment</w:t>
            </w:r>
          </w:p>
        </w:tc>
      </w:tr>
      <w:tr>
        <w:trPr>
          <w:cantSplit w:val="true"/>
        </w:trPr>
        <w:tc>
          <w:tcPr>
            <w:tcW w:w="10070"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1.</w:t>
              <w:tab/>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1.</w:t>
            </w:r>
          </w:p>
        </w:tc>
        <w:tc>
          <w:tcPr>
            <w:tcW w:w="6408" w:type="dxa"/>
            <w:gridSpan w:val="2"/>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An understanding of the political structure within local government</w:t>
            </w:r>
          </w:p>
        </w:tc>
        <w:tc>
          <w:tcPr>
            <w:tcW w:w="297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Interview</w:t>
            </w:r>
          </w:p>
        </w:tc>
      </w:tr>
      <w:tr>
        <w:trPr>
          <w:cantSplit w:val="true"/>
        </w:trPr>
        <w:tc>
          <w:tcPr>
            <w:tcW w:w="675" w:type="dxa"/>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2.</w:t>
            </w:r>
          </w:p>
        </w:tc>
        <w:tc>
          <w:tcPr>
            <w:tcW w:w="6408" w:type="dxa"/>
            <w:gridSpan w:val="2"/>
            <w:tcBorders>
              <w:top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Knowledge of local government terms and conditions</w:t>
            </w:r>
          </w:p>
        </w:tc>
        <w:tc>
          <w:tcPr>
            <w:tcW w:w="2977" w:type="dxa"/>
            <w:tcBorders>
              <w:top w:val="single" w:sz="4" w:space="0" w:color="000000"/>
              <w:left w:val="single" w:sz="4" w:space="0" w:color="000000"/>
              <w:bottom w:val="single" w:sz="4" w:space="0" w:color="000000"/>
            </w:tcBorders>
            <w:shd w:fill="auto" w:val="clear"/>
          </w:tcPr>
          <w:p>
            <w:pPr>
              <w:pStyle w:val="Normal"/>
              <w:spacing w:before="60" w:after="60"/>
              <w:rPr>
                <w:rFonts w:ascii="Arial" w:hAnsi="Arial" w:cs="Arial"/>
              </w:rPr>
            </w:pPr>
            <w:r>
              <w:rPr>
                <w:rFonts w:cs="Arial" w:ascii="Arial" w:hAnsi="Arial"/>
              </w:rPr>
              <w:t>Application / Interview</w:t>
            </w:r>
          </w:p>
        </w:tc>
      </w:tr>
    </w:tbl>
    <w:p>
      <w:pPr>
        <w:pStyle w:val="Normal"/>
        <w:spacing w:before="0" w:after="0"/>
        <w:rPr/>
      </w:pPr>
      <w:r>
        <w:rPr/>
      </w:r>
    </w:p>
    <w:tbl>
      <w:tblPr>
        <w:tblW w:w="9627" w:type="dxa"/>
        <w:jc w:val="left"/>
        <w:tblInd w:w="0" w:type="dxa"/>
        <w:tblCellMar>
          <w:top w:w="0" w:type="dxa"/>
          <w:left w:w="108" w:type="dxa"/>
          <w:bottom w:w="0" w:type="dxa"/>
          <w:right w:w="108" w:type="dxa"/>
        </w:tblCellMar>
      </w:tblPr>
      <w:tblGrid>
        <w:gridCol w:w="5812"/>
        <w:gridCol w:w="3815"/>
      </w:tblGrid>
      <w:tr>
        <w:trPr/>
        <w:tc>
          <w:tcPr>
            <w:tcW w:w="5812" w:type="dxa"/>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w:t>
            </w:r>
          </w:p>
        </w:tc>
        <w:tc>
          <w:tcPr>
            <w:tcW w:w="3815" w:type="dxa"/>
            <w:tcBorders/>
            <w:shd w:fill="auto" w:val="clear"/>
          </w:tcPr>
          <w:p>
            <w:pPr>
              <w:pStyle w:val="Normal"/>
              <w:spacing w:lineRule="auto" w:line="240" w:before="0" w:after="0"/>
              <w:rPr>
                <w:rFonts w:ascii="Arial" w:hAnsi="Arial" w:cs="Arial"/>
                <w:b/>
                <w:b/>
              </w:rPr>
            </w:pPr>
            <w:r>
              <w:rPr>
                <w:rFonts w:cs="Arial" w:ascii="Arial" w:hAnsi="Arial"/>
                <w:b/>
              </w:rPr>
              <w:t>Updated August 2026</w:t>
            </w:r>
          </w:p>
        </w:tc>
      </w:tr>
      <w:tr>
        <w:trPr/>
        <w:tc>
          <w:tcPr>
            <w:tcW w:w="5812" w:type="dxa"/>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5" w:type="dxa"/>
            <w:tcBorders/>
            <w:shd w:fill="auto" w:val="clear"/>
          </w:tcPr>
          <w:p>
            <w:pPr>
              <w:pStyle w:val="Normal"/>
              <w:spacing w:lineRule="auto" w:line="240" w:before="0" w:after="0"/>
              <w:rPr>
                <w:rFonts w:ascii="Arial" w:hAnsi="Arial" w:cs="Arial"/>
                <w:b/>
                <w:b/>
              </w:rPr>
            </w:pPr>
            <w:r>
              <w:rPr>
                <w:rFonts w:cs="Arial" w:ascii="Arial" w:hAnsi="Arial"/>
                <w:b/>
              </w:rPr>
              <w:t>Head of Corporate HR</w:t>
            </w:r>
          </w:p>
        </w:tc>
      </w:tr>
    </w:tbl>
    <w:p>
      <w:pPr>
        <w:pStyle w:val="Normal"/>
        <w:spacing w:lineRule="auto" w:line="240" w:before="0" w:after="0"/>
        <w:rPr>
          <w:rFonts w:ascii="Arial" w:hAnsi="Arial" w:cs="Arial"/>
          <w:b/>
          <w:b/>
        </w:rPr>
      </w:pPr>
      <w:r>
        <w:rPr>
          <w:rFonts w:cs="Arial" w:ascii="Arial" w:hAnsi="Arial"/>
          <w:b/>
        </w:rPr>
      </w:r>
      <w:r>
        <w:br w:type="page"/>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8"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pic:cNvPicPr>
                      <a:picLocks noChangeAspect="1" noChangeArrowheads="1"/>
                    </pic:cNvPicPr>
                  </pic:nvPicPr>
                  <pic:blipFill>
                    <a:blip r:embed="rId6"/>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9"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pic:cNvPicPr>
                      <a:picLocks noChangeAspect="1" noChangeArrowheads="1"/>
                    </pic:cNvPicPr>
                  </pic:nvPicPr>
                  <pic:blipFill>
                    <a:blip r:embed="rId7"/>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10"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pic:cNvPicPr>
                      <a:picLocks noChangeAspect="1" noChangeArrowheads="1"/>
                    </pic:cNvPicPr>
                  </pic:nvPicPr>
                  <pic:blipFill>
                    <a:blip r:embed="rId8"/>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11"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descr=""/>
                    <pic:cNvPicPr>
                      <a:picLocks noChangeAspect="1" noChangeArrowheads="1"/>
                    </pic:cNvPicPr>
                  </pic:nvPicPr>
                  <pic:blipFill>
                    <a:blip r:embed="rId9"/>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12"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 descr=""/>
                    <pic:cNvPicPr>
                      <a:picLocks noChangeAspect="1" noChangeArrowheads="1"/>
                    </pic:cNvPicPr>
                  </pic:nvPicPr>
                  <pic:blipFill>
                    <a:blip r:embed="rId10"/>
                    <a:srcRect l="-6" t="-19" r="-6" b="-19"/>
                    <a:stretch>
                      <a:fillRect/>
                    </a:stretch>
                  </pic:blipFill>
                  <pic:spPr bwMode="auto">
                    <a:xfrm>
                      <a:off x="0" y="0"/>
                      <a:ext cx="5012690" cy="1232535"/>
                    </a:xfrm>
                    <a:prstGeom prst="rect">
                      <a:avLst/>
                    </a:prstGeom>
                  </pic:spPr>
                </pic:pic>
              </a:graphicData>
            </a:graphic>
          </wp:inline>
        </w:drawing>
      </w:r>
    </w:p>
    <w:p>
      <w:pPr>
        <w:pStyle w:val="Normal"/>
        <w:rPr/>
      </w:pPr>
      <w:r>
        <w:rPr/>
      </w:r>
    </w:p>
    <w:p>
      <w:pPr>
        <w:pStyle w:val="Normal"/>
        <w:spacing w:lineRule="auto" w:line="256" w:before="0" w:after="160"/>
        <w:rPr/>
      </w:pPr>
      <w:r>
        <w:rPr/>
      </w:r>
    </w:p>
    <w:sectPr>
      <w:footerReference w:type="default" r:id="rId11"/>
      <w:type w:val="nextPage"/>
      <w:pgSz w:w="11906" w:h="16838"/>
      <w:pgMar w:left="1134" w:right="1134" w:header="0"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Arial"/>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2026-08-14T07:51:00Z</dcterms:created>
  <dc:creator>Johnson, Andrew</dc:creator>
  <dc:description/>
  <dc:language>en-US</dc:language>
  <cp:lastModifiedBy>Longworth, Dawn</cp:lastModifiedBy>
  <cp:lastPrinted>1995-11-21T17:41:00Z</cp:lastPrinted>
  <dcterms:modified xsi:type="dcterms:W3CDTF">2026-08-14T09:46:00Z</dcterms:modified>
  <cp:revision>52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0x010100566CF2614640014297FF9DEC508DCE48</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