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mc:AlternateContent>
          <mc:Choice Requires="wps">
            <w:drawing>
              <wp:anchor behindDoc="0" distT="0" distB="0" distL="114935" distR="114935" simplePos="0" locked="0" layoutInCell="0" allowOverlap="1" relativeHeight="18">
                <wp:simplePos x="0" y="0"/>
                <wp:positionH relativeFrom="margin">
                  <wp:posOffset>-133350</wp:posOffset>
                </wp:positionH>
                <wp:positionV relativeFrom="paragraph">
                  <wp:posOffset>-316230</wp:posOffset>
                </wp:positionV>
                <wp:extent cx="4486275" cy="647700"/>
                <wp:effectExtent l="0" t="0" r="0" b="0"/>
                <wp:wrapNone/>
                <wp:docPr id="1" name=""/>
                <a:graphic xmlns:a="http://schemas.openxmlformats.org/drawingml/2006/main">
                  <a:graphicData uri="http://schemas.microsoft.com/office/word/2010/wordprocessingShape">
                    <wps:wsp>
                      <wps:cNvSpPr txBox="1"/>
                      <wps:spPr>
                        <a:xfrm>
                          <a:off x="0" y="0"/>
                          <a:ext cx="4486320" cy="647640"/>
                        </a:xfrm>
                        <a:prstGeom prst="rect">
                          <a:avLst/>
                        </a:prstGeom>
                        <a:no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stroked="f" o:allowincell="f" style="position:absolute;margin-left:-10.5pt;margin-top:-24.9pt;width:353.2pt;height:50.9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19">
                <wp:simplePos x="0" y="0"/>
                <wp:positionH relativeFrom="margin">
                  <wp:posOffset>-142875</wp:posOffset>
                </wp:positionH>
                <wp:positionV relativeFrom="paragraph">
                  <wp:posOffset>321945</wp:posOffset>
                </wp:positionV>
                <wp:extent cx="5248275" cy="1314450"/>
                <wp:effectExtent l="0" t="0" r="0" b="0"/>
                <wp:wrapNone/>
                <wp:docPr id="2" name=""/>
                <a:graphic xmlns:a="http://schemas.openxmlformats.org/drawingml/2006/main">
                  <a:graphicData uri="http://schemas.microsoft.com/office/word/2010/wordprocessingShape">
                    <wps:wsp>
                      <wps:cNvSpPr txBox="1"/>
                      <wps:spPr>
                        <a:xfrm>
                          <a:off x="0" y="0"/>
                          <a:ext cx="5248440" cy="1314360"/>
                        </a:xfrm>
                        <a:prstGeom prst="rect">
                          <a:avLst/>
                        </a:prstGeom>
                        <a:noFill/>
                        <a:ln w="0">
                          <a:noFill/>
                        </a:ln>
                      </wps:spPr>
                      <wps:bodyPr/>
                    </wps:wsp>
                  </a:graphicData>
                </a:graphic>
              </wp:anchor>
            </w:drawing>
          </mc:Choice>
          <mc:Fallback>
            <w:pict>
              <v:shape id="shape_0" stroked="f" o:allowincell="f" style="position:absolute;margin-left:-11.25pt;margin-top:25.35pt;width:413.2pt;height:103.45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20">
                <wp:simplePos x="0" y="0"/>
                <wp:positionH relativeFrom="margin">
                  <wp:posOffset>-209550</wp:posOffset>
                </wp:positionH>
                <wp:positionV relativeFrom="paragraph">
                  <wp:posOffset>1674495</wp:posOffset>
                </wp:positionV>
                <wp:extent cx="6238875" cy="1666875"/>
                <wp:effectExtent l="0" t="0" r="0" b="0"/>
                <wp:wrapNone/>
                <wp:docPr id="3" name=""/>
                <a:graphic xmlns:a="http://schemas.openxmlformats.org/drawingml/2006/main">
                  <a:graphicData uri="http://schemas.microsoft.com/office/word/2010/wordprocessingShape">
                    <wps:wsp>
                      <wps:cNvSpPr txBox="1"/>
                      <wps:spPr>
                        <a:xfrm>
                          <a:off x="0" y="0"/>
                          <a:ext cx="6238800" cy="1666800"/>
                        </a:xfrm>
                        <a:prstGeom prst="rect">
                          <a:avLst/>
                        </a:prstGeom>
                        <a:noFill/>
                        <a:ln w="0">
                          <a:noFill/>
                        </a:ln>
                      </wps:spPr>
                      <wps:bodyPr/>
                    </wps:wsp>
                  </a:graphicData>
                </a:graphic>
              </wp:anchor>
            </w:drawing>
          </mc:Choice>
          <mc:Fallback>
            <w:pict>
              <v:shape id="shape_0" stroked="f" o:allowincell="f" style="position:absolute;margin-left:-16.5pt;margin-top:131.85pt;width:491.2pt;height:131.2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mc:AlternateContent>
          <mc:Choice Requires="wps">
            <w:drawing>
              <wp:anchor behindDoc="0" distT="0" distB="0" distL="114935" distR="114935" simplePos="0" locked="0" layoutInCell="0" allowOverlap="1" relativeHeight="21">
                <wp:simplePos x="0" y="0"/>
                <wp:positionH relativeFrom="margin">
                  <wp:posOffset>-228600</wp:posOffset>
                </wp:positionH>
                <wp:positionV relativeFrom="paragraph">
                  <wp:posOffset>3312795</wp:posOffset>
                </wp:positionV>
                <wp:extent cx="6181725" cy="4543425"/>
                <wp:effectExtent l="0" t="0" r="0" b="0"/>
                <wp:wrapNone/>
                <wp:docPr id="4" name=""/>
                <a:graphic xmlns:a="http://schemas.openxmlformats.org/drawingml/2006/main">
                  <a:graphicData uri="http://schemas.microsoft.com/office/word/2010/wordprocessingShape">
                    <wps:wsp>
                      <wps:cNvSpPr txBox="1"/>
                      <wps:spPr>
                        <a:xfrm>
                          <a:off x="0" y="0"/>
                          <a:ext cx="6181560" cy="4543560"/>
                        </a:xfrm>
                        <a:prstGeom prst="rect">
                          <a:avLst/>
                        </a:prstGeom>
                        <a:noFill/>
                        <a:ln w="0">
                          <a:noFill/>
                        </a:ln>
                      </wps:spPr>
                      <wps:bodyPr/>
                    </wps:wsp>
                  </a:graphicData>
                </a:graphic>
              </wp:anchor>
            </w:drawing>
          </mc:Choice>
          <mc:Fallback>
            <w:pict>
              <v:shape id="shape_0" stroked="f" o:allowincell="f" style="position:absolute;margin-left:-18pt;margin-top:260.85pt;width:486.7pt;height:357.7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0" allowOverlap="1" relativeHeight="24">
                <wp:simplePos x="0" y="0"/>
                <wp:positionH relativeFrom="margin">
                  <wp:posOffset>-133350</wp:posOffset>
                </wp:positionH>
                <wp:positionV relativeFrom="paragraph">
                  <wp:posOffset>-316230</wp:posOffset>
                </wp:positionV>
                <wp:extent cx="4486275" cy="647700"/>
                <wp:effectExtent l="0" t="0" r="0" b="0"/>
                <wp:wrapNone/>
                <wp:docPr id="5" name="Frame1"/>
                <a:graphic xmlns:a="http://schemas.openxmlformats.org/drawingml/2006/main">
                  <a:graphicData uri="http://schemas.microsoft.com/office/word/2010/wordprocessingShape">
                    <wps:wsp>
                      <wps:cNvSpPr txBox="1"/>
                      <wps:spPr>
                        <a:xfrm>
                          <a:off x="0" y="0"/>
                          <a:ext cx="4486275" cy="647700"/>
                        </a:xfrm>
                        <a:prstGeom prst="rect"/>
                        <a:solidFill>
                          <a:srgbClr val="FFFFFF"/>
                        </a:solidFill>
                      </wps:spPr>
                      <wps:txbx>
                        <w:txbxContent>
                          <w:p>
                            <w:pPr>
                              <w:pStyle w:val="FrameContents"/>
                              <w:spacing w:before="0" w:after="160"/>
                              <w:rPr>
                                <w:sz w:val="28"/>
                                <w:szCs w:val="28"/>
                              </w:rPr>
                            </w:pPr>
                            <w:r>
                              <w:rPr>
                                <w:sz w:val="28"/>
                                <w:szCs w:val="28"/>
                              </w:rPr>
                              <w:t xml:space="preserve">Job Description: Special Educational Needs and Disabilities Co-ordinator (SENDCO) </w:t>
                            </w:r>
                          </w:p>
                        </w:txbxContent>
                      </wps:txbx>
                      <wps:bodyPr anchor="t" lIns="92075" tIns="46355" rIns="92075" bIns="46355">
                        <a:noAutofit/>
                      </wps:bodyPr>
                    </wps:wsp>
                  </a:graphicData>
                </a:graphic>
              </wp:anchor>
            </w:drawing>
          </mc:Choice>
          <mc:Fallback>
            <w:pict>
              <v:rect fillcolor="#FFFFFF" style="position:absolute;rotation:-0;width:353.25pt;height:51pt;mso-wrap-distance-left:0pt;mso-wrap-distance-right:0pt;mso-wrap-distance-top:5.7pt;mso-wrap-distance-bottom:5.7pt;margin-top:-24.9pt;mso-position-vertical-relative:text;margin-left:-10.5pt;mso-position-horizontal-relative:margin">
                <v:textbox inset="0.100694444444444in,0.0506944444444444in,0.100694444444444in,0.0506944444444444in">
                  <w:txbxContent>
                    <w:p>
                      <w:pPr>
                        <w:pStyle w:val="FrameContents"/>
                        <w:spacing w:before="0" w:after="160"/>
                        <w:rPr>
                          <w:sz w:val="28"/>
                          <w:szCs w:val="28"/>
                        </w:rPr>
                      </w:pPr>
                      <w:r>
                        <w:rPr>
                          <w:sz w:val="28"/>
                          <w:szCs w:val="28"/>
                        </w:rPr>
                        <w:t xml:space="preserve">Job Description: Special Educational Needs and Disabilities Co-ordinator (SENDCO) </w:t>
                      </w:r>
                    </w:p>
                  </w:txbxContent>
                </v:textbox>
                <w10:wrap type="none"/>
              </v:rect>
            </w:pict>
          </mc:Fallback>
        </mc:AlternateContent>
      </w:r>
      <w:r>
        <mc:AlternateContent>
          <mc:Choice Requires="wps">
            <w:drawing>
              <wp:anchor behindDoc="0" distT="72390" distB="72390" distL="0" distR="0" simplePos="0" locked="0" layoutInCell="0" allowOverlap="1" relativeHeight="25">
                <wp:simplePos x="0" y="0"/>
                <wp:positionH relativeFrom="margin">
                  <wp:posOffset>-228600</wp:posOffset>
                </wp:positionH>
                <wp:positionV relativeFrom="paragraph">
                  <wp:posOffset>3312795</wp:posOffset>
                </wp:positionV>
                <wp:extent cx="6181725" cy="4543425"/>
                <wp:effectExtent l="0" t="0" r="0" b="0"/>
                <wp:wrapNone/>
                <wp:docPr id="6" name="Frame2"/>
                <a:graphic xmlns:a="http://schemas.openxmlformats.org/drawingml/2006/main">
                  <a:graphicData uri="http://schemas.microsoft.com/office/word/2010/wordprocessingShape">
                    <wps:wsp>
                      <wps:cNvSpPr txBox="1"/>
                      <wps:spPr>
                        <a:xfrm>
                          <a:off x="0" y="0"/>
                          <a:ext cx="6181725" cy="4543425"/>
                        </a:xfrm>
                        <a:prstGeom prst="rect"/>
                        <a:solidFill>
                          <a:srgbClr val="FFFFFF"/>
                        </a:solidFill>
                      </wps:spPr>
                      <wps:txbx>
                        <w:txbxContent>
                          <w:p>
                            <w:pPr>
                              <w:pStyle w:val="FrameContents"/>
                              <w:rPr/>
                            </w:pPr>
                            <w:r>
                              <w:rPr>
                                <w:rStyle w:val="Strong"/>
                                <w:rFonts w:cs="Calibri"/>
                                <w:b w:val="false"/>
                                <w:sz w:val="28"/>
                                <w:szCs w:val="28"/>
                              </w:rPr>
                              <w:t>Main Duties and Responsibilities</w:t>
                            </w:r>
                          </w:p>
                          <w:p>
                            <w:pPr>
                              <w:pStyle w:val="FrameContents"/>
                              <w:rPr/>
                            </w:pPr>
                            <w:r>
                              <w:rPr>
                                <w:rStyle w:val="Strong"/>
                                <w:rFonts w:cs="Calibri"/>
                                <w:b w:val="false"/>
                                <w:sz w:val="28"/>
                                <w:szCs w:val="28"/>
                              </w:rPr>
                              <w:t>1. Strategic Leadership and School Development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Vision &amp; Strategy: Innovate and execute a robust SEND strategy that aligns with the school's high-achieving environment, maintaining a laser focus on closing the attainment gap.</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Policy Management: Oversee the day-to-day operation of the school's SEND policy in strict compliance with the statutory SEND Code of Practice.</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Data Analysis: Rigorously evaluate and track the progress data of pupils on the SEND register. Present detailed analytical reports to the Senior Leadership Team (SLT) and Governing Board.</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Financial Oversight: Maximise the impact of the SEND budget, ensuring resource allocation is data-driven, evidence-based, and aligned with student progression.</w:t>
                            </w:r>
                          </w:p>
                          <w:p>
                            <w:pPr>
                              <w:pStyle w:val="FrameContents"/>
                              <w:rPr/>
                            </w:pPr>
                            <w:r>
                              <w:rPr>
                                <w:rStyle w:val="Strong"/>
                                <w:rFonts w:cs="Calibri"/>
                                <w:b w:val="false"/>
                                <w:sz w:val="28"/>
                                <w:szCs w:val="28"/>
                              </w:rPr>
                              <w:t>2. Teaching, Learning, and Provision Mapping</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The Graduated Approach: Lead the identification process and assess pupil needs through a meticulous Assess, Plan, Do, Review framework.</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Curriculum Adaptation: Collaborate with class teachers to optimize high-quality teaching, advising on effective differentiation strategies to support neurodiverse learners within a demanding curriculum.</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Intervention Excellence: Design, implement, and audit targeted intervention frameworks. Ensure the school's provision map delivers maximum academic and social-emotional returns.</w:t>
                            </w:r>
                          </w:p>
                          <w:p>
                            <w:pPr>
                              <w:pStyle w:val="FrameContents"/>
                              <w:spacing w:before="0" w:after="160"/>
                              <w:rPr/>
                            </w:pPr>
                            <w:r>
                              <w:rPr/>
                            </w:r>
                          </w:p>
                        </w:txbxContent>
                      </wps:txbx>
                      <wps:bodyPr anchor="t" lIns="92075" tIns="46355" rIns="92075" bIns="46355">
                        <a:noAutofit/>
                      </wps:bodyPr>
                    </wps:wsp>
                  </a:graphicData>
                </a:graphic>
              </wp:anchor>
            </w:drawing>
          </mc:Choice>
          <mc:Fallback>
            <w:pict>
              <v:rect fillcolor="#FFFFFF" style="position:absolute;rotation:-0;width:486.75pt;height:357.75pt;mso-wrap-distance-left:0pt;mso-wrap-distance-right:0pt;mso-wrap-distance-top:5.7pt;mso-wrap-distance-bottom:5.7pt;margin-top:260.85pt;mso-position-vertical-relative:text;margin-left:-18pt;mso-position-horizontal-relative:margin">
                <v:textbox inset="0.100694444444444in,0.0506944444444444in,0.100694444444444in,0.0506944444444444in">
                  <w:txbxContent>
                    <w:p>
                      <w:pPr>
                        <w:pStyle w:val="FrameContents"/>
                        <w:rPr/>
                      </w:pPr>
                      <w:r>
                        <w:rPr>
                          <w:rStyle w:val="Strong"/>
                          <w:rFonts w:cs="Calibri"/>
                          <w:b w:val="false"/>
                          <w:sz w:val="28"/>
                          <w:szCs w:val="28"/>
                        </w:rPr>
                        <w:t>Main Duties and Responsibilities</w:t>
                      </w:r>
                    </w:p>
                    <w:p>
                      <w:pPr>
                        <w:pStyle w:val="FrameContents"/>
                        <w:rPr/>
                      </w:pPr>
                      <w:r>
                        <w:rPr>
                          <w:rStyle w:val="Strong"/>
                          <w:rFonts w:cs="Calibri"/>
                          <w:b w:val="false"/>
                          <w:sz w:val="28"/>
                          <w:szCs w:val="28"/>
                        </w:rPr>
                        <w:t>1. Strategic Leadership and School Development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Vision &amp; Strategy: Innovate and execute a robust SEND strategy that aligns with the school's high-achieving environment, maintaining a laser focus on closing the attainment gap.</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Policy Management: Oversee the day-to-day operation of the school's SEND policy in strict compliance with the statutory SEND Code of Practice.</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Data Analysis: Rigorously evaluate and track the progress data of pupils on the SEND register. Present detailed analytical reports to the Senior Leadership Team (SLT) and Governing Board.</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Financial Oversight: Maximise the impact of the SEND budget, ensuring resource allocation is data-driven, evidence-based, and aligned with student progression.</w:t>
                      </w:r>
                    </w:p>
                    <w:p>
                      <w:pPr>
                        <w:pStyle w:val="FrameContents"/>
                        <w:rPr/>
                      </w:pPr>
                      <w:r>
                        <w:rPr>
                          <w:rStyle w:val="Strong"/>
                          <w:rFonts w:cs="Calibri"/>
                          <w:b w:val="false"/>
                          <w:sz w:val="28"/>
                          <w:szCs w:val="28"/>
                        </w:rPr>
                        <w:t>2. Teaching, Learning, and Provision Mapping</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The Graduated Approach: Lead the identification process and assess pupil needs through a meticulous Assess, Plan, Do, Review framework.</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Curriculum Adaptation: Collaborate with class teachers to optimize high-quality teaching, advising on effective differentiation strategies to support neurodiverse learners within a demanding curriculum.</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Intervention Excellence: Design, implement, and audit targeted intervention frameworks. Ensure the school's provision map delivers maximum academic and social-emotional returns.</w:t>
                      </w:r>
                    </w:p>
                    <w:p>
                      <w:pPr>
                        <w:pStyle w:val="FrameContents"/>
                        <w:spacing w:before="0" w:after="160"/>
                        <w:rPr/>
                      </w:pPr>
                      <w:r>
                        <w:rPr/>
                      </w:r>
                    </w:p>
                  </w:txbxContent>
                </v:textbox>
                <w10:wrap type="none"/>
              </v:rect>
            </w:pict>
          </mc:Fallback>
        </mc:AlternateContent>
      </w:r>
      <w:r>
        <mc:AlternateContent>
          <mc:Choice Requires="wps">
            <w:drawing>
              <wp:anchor behindDoc="0" distT="72390" distB="72390" distL="0" distR="0" simplePos="0" locked="0" layoutInCell="0" allowOverlap="1" relativeHeight="26">
                <wp:simplePos x="0" y="0"/>
                <wp:positionH relativeFrom="margin">
                  <wp:posOffset>-142875</wp:posOffset>
                </wp:positionH>
                <wp:positionV relativeFrom="paragraph">
                  <wp:posOffset>321945</wp:posOffset>
                </wp:positionV>
                <wp:extent cx="5248275" cy="1314450"/>
                <wp:effectExtent l="0" t="0" r="0" b="0"/>
                <wp:wrapNone/>
                <wp:docPr id="7" name="Frame3"/>
                <a:graphic xmlns:a="http://schemas.openxmlformats.org/drawingml/2006/main">
                  <a:graphicData uri="http://schemas.microsoft.com/office/word/2010/wordprocessingShape">
                    <wps:wsp>
                      <wps:cNvSpPr txBox="1"/>
                      <wps:spPr>
                        <a:xfrm>
                          <a:off x="0" y="0"/>
                          <a:ext cx="5248275" cy="1314450"/>
                        </a:xfrm>
                        <a:prstGeom prst="rect"/>
                        <a:solidFill>
                          <a:srgbClr val="FFFFFF"/>
                        </a:solidFill>
                      </wps:spPr>
                      <wps:txbx>
                        <w:txbxContent>
                          <w:p>
                            <w:pPr>
                              <w:pStyle w:val="FrameContents"/>
                              <w:spacing w:before="0" w:after="160"/>
                              <w:rPr/>
                            </w:pPr>
                            <w:r>
                              <w:rPr>
                                <w:rStyle w:val="Strong"/>
                                <w:rFonts w:cs="Calibri"/>
                              </w:rPr>
                              <w:t>Position:</w:t>
                            </w:r>
                            <w:r>
                              <w:rPr>
                                <w:rFonts w:cs="Calibri"/>
                              </w:rPr>
                              <w:t xml:space="preserve"> Special Educational Needs and Disabilities Co-ordinator (SENDCO)</w:t>
                              <w:br/>
                            </w:r>
                            <w:r>
                              <w:rPr>
                                <w:rStyle w:val="Strong"/>
                                <w:rFonts w:cs="Calibri"/>
                              </w:rPr>
                              <w:t>Salary/Grade:</w:t>
                            </w:r>
                            <w:r>
                              <w:rPr>
                                <w:rFonts w:cs="Calibri"/>
                              </w:rPr>
                              <w:t xml:space="preserve"> Leadership Scale L6 – L9</w:t>
                              <w:br/>
                            </w:r>
                            <w:r>
                              <w:rPr>
                                <w:rStyle w:val="Strong"/>
                                <w:rFonts w:cs="Calibri"/>
                              </w:rPr>
                              <w:t>Contract Type:</w:t>
                            </w:r>
                            <w:r>
                              <w:rPr>
                                <w:rFonts w:cs="Calibri"/>
                              </w:rPr>
                              <w:t xml:space="preserve"> Full-time, Permanent</w:t>
                              <w:br/>
                            </w:r>
                            <w:r>
                              <w:rPr>
                                <w:rStyle w:val="Strong"/>
                                <w:rFonts w:cs="Calibri"/>
                              </w:rPr>
                              <w:t>Reporting To:</w:t>
                            </w:r>
                            <w:r>
                              <w:rPr>
                                <w:rFonts w:cs="Calibri"/>
                              </w:rPr>
                              <w:t xml:space="preserve"> Headteacher / Deputy Headteacher</w:t>
                              <w:br/>
                            </w:r>
                            <w:r>
                              <w:rPr>
                                <w:rStyle w:val="Strong"/>
                                <w:rFonts w:cs="Calibri"/>
                              </w:rPr>
                              <w:t>Responsible For:</w:t>
                            </w:r>
                            <w:r>
                              <w:rPr>
                                <w:rFonts w:cs="Calibri"/>
                              </w:rPr>
                              <w:t xml:space="preserve"> Inclusion Team, Higher Level Teaching Assistants (HLTAs), Teaching Assistants (TAs) and Special Needs Assistants (SNAs)</w:t>
                            </w:r>
                          </w:p>
                        </w:txbxContent>
                      </wps:txbx>
                      <wps:bodyPr anchor="t" lIns="92075" tIns="46355" rIns="92075" bIns="46355">
                        <a:noAutofit/>
                      </wps:bodyPr>
                    </wps:wsp>
                  </a:graphicData>
                </a:graphic>
              </wp:anchor>
            </w:drawing>
          </mc:Choice>
          <mc:Fallback>
            <w:pict>
              <v:rect fillcolor="#FFFFFF" style="position:absolute;rotation:-0;width:413.25pt;height:103.5pt;mso-wrap-distance-left:0pt;mso-wrap-distance-right:0pt;mso-wrap-distance-top:5.7pt;mso-wrap-distance-bottom:5.7pt;margin-top:25.35pt;mso-position-vertical-relative:text;margin-left:-11.25pt;mso-position-horizontal-relative:margin">
                <v:textbox inset="0.100694444444444in,0.0506944444444444in,0.100694444444444in,0.0506944444444444in">
                  <w:txbxContent>
                    <w:p>
                      <w:pPr>
                        <w:pStyle w:val="FrameContents"/>
                        <w:spacing w:before="0" w:after="160"/>
                        <w:rPr/>
                      </w:pPr>
                      <w:r>
                        <w:rPr>
                          <w:rStyle w:val="Strong"/>
                          <w:rFonts w:cs="Calibri"/>
                        </w:rPr>
                        <w:t>Position:</w:t>
                      </w:r>
                      <w:r>
                        <w:rPr>
                          <w:rFonts w:cs="Calibri"/>
                        </w:rPr>
                        <w:t xml:space="preserve"> Special Educational Needs and Disabilities Co-ordinator (SENDCO)</w:t>
                        <w:br/>
                      </w:r>
                      <w:r>
                        <w:rPr>
                          <w:rStyle w:val="Strong"/>
                          <w:rFonts w:cs="Calibri"/>
                        </w:rPr>
                        <w:t>Salary/Grade:</w:t>
                      </w:r>
                      <w:r>
                        <w:rPr>
                          <w:rFonts w:cs="Calibri"/>
                        </w:rPr>
                        <w:t xml:space="preserve"> Leadership Scale L6 – L9</w:t>
                        <w:br/>
                      </w:r>
                      <w:r>
                        <w:rPr>
                          <w:rStyle w:val="Strong"/>
                          <w:rFonts w:cs="Calibri"/>
                        </w:rPr>
                        <w:t>Contract Type:</w:t>
                      </w:r>
                      <w:r>
                        <w:rPr>
                          <w:rFonts w:cs="Calibri"/>
                        </w:rPr>
                        <w:t xml:space="preserve"> Full-time, Permanent</w:t>
                        <w:br/>
                      </w:r>
                      <w:r>
                        <w:rPr>
                          <w:rStyle w:val="Strong"/>
                          <w:rFonts w:cs="Calibri"/>
                        </w:rPr>
                        <w:t>Reporting To:</w:t>
                      </w:r>
                      <w:r>
                        <w:rPr>
                          <w:rFonts w:cs="Calibri"/>
                        </w:rPr>
                        <w:t xml:space="preserve"> Headteacher / Deputy Headteacher</w:t>
                        <w:br/>
                      </w:r>
                      <w:r>
                        <w:rPr>
                          <w:rStyle w:val="Strong"/>
                          <w:rFonts w:cs="Calibri"/>
                        </w:rPr>
                        <w:t>Responsible For:</w:t>
                      </w:r>
                      <w:r>
                        <w:rPr>
                          <w:rFonts w:cs="Calibri"/>
                        </w:rPr>
                        <w:t xml:space="preserve"> Inclusion Team, Higher Level Teaching Assistants (HLTAs), Teaching Assistants (TAs) and Special Needs Assistants (SNAs)</w:t>
                      </w:r>
                    </w:p>
                  </w:txbxContent>
                </v:textbox>
                <w10:wrap type="none"/>
              </v:rect>
            </w:pict>
          </mc:Fallback>
        </mc:AlternateContent>
      </w:r>
      <w:r>
        <mc:AlternateContent>
          <mc:Choice Requires="wps">
            <w:drawing>
              <wp:anchor behindDoc="0" distT="72390" distB="72390" distL="0" distR="0" simplePos="0" locked="0" layoutInCell="0" allowOverlap="1" relativeHeight="27">
                <wp:simplePos x="0" y="0"/>
                <wp:positionH relativeFrom="margin">
                  <wp:posOffset>-209550</wp:posOffset>
                </wp:positionH>
                <wp:positionV relativeFrom="paragraph">
                  <wp:posOffset>1674495</wp:posOffset>
                </wp:positionV>
                <wp:extent cx="6238875" cy="1666875"/>
                <wp:effectExtent l="0" t="0" r="0" b="0"/>
                <wp:wrapNone/>
                <wp:docPr id="8" name="Frame4"/>
                <a:graphic xmlns:a="http://schemas.openxmlformats.org/drawingml/2006/main">
                  <a:graphicData uri="http://schemas.microsoft.com/office/word/2010/wordprocessingShape">
                    <wps:wsp>
                      <wps:cNvSpPr txBox="1"/>
                      <wps:spPr>
                        <a:xfrm>
                          <a:off x="0" y="0"/>
                          <a:ext cx="6238875" cy="1666875"/>
                        </a:xfrm>
                        <a:prstGeom prst="rect"/>
                        <a:solidFill>
                          <a:srgbClr val="FFFFFF"/>
                        </a:solidFill>
                      </wps:spPr>
                      <wps:txbx>
                        <w:txbxContent>
                          <w:p>
                            <w:pPr>
                              <w:pStyle w:val="FrameContents"/>
                              <w:rPr/>
                            </w:pPr>
                            <w:r>
                              <w:rPr>
                                <w:rStyle w:val="Strong"/>
                                <w:rFonts w:cs="Calibri"/>
                                <w:b w:val="false"/>
                                <w:sz w:val="28"/>
                                <w:szCs w:val="28"/>
                              </w:rPr>
                              <w:t>Job Purpose</w:t>
                            </w:r>
                          </w:p>
                          <w:p>
                            <w:pPr>
                              <w:pStyle w:val="FrameContents"/>
                              <w:spacing w:before="0" w:after="160"/>
                              <w:rPr/>
                            </w:pPr>
                            <w:r>
                              <w:rPr>
                                <w:rStyle w:val="Strong"/>
                                <w:rFonts w:cs="Calibri"/>
                                <w:b w:val="false"/>
                              </w:rPr>
                              <w:t xml:space="preserve">The SENDCO will provide </w:t>
                            </w:r>
                            <w:r>
                              <w:rPr>
                                <w:rStyle w:val="Strong"/>
                                <w:rFonts w:cs="Calibri"/>
                              </w:rPr>
                              <w:t>high-level strategic leadership</w:t>
                            </w:r>
                            <w:r>
                              <w:rPr>
                                <w:rStyle w:val="Strong"/>
                                <w:rFonts w:cs="Calibri"/>
                                <w:b w:val="false"/>
                              </w:rPr>
                              <w:t xml:space="preserve"> to shape, implement, and oversee the school’s Special Educational Needs and Disabilities (SEND) policy. Operating in an ambitious, high-attaining primary school, the successful candidate will champion a culture of </w:t>
                            </w:r>
                            <w:r>
                              <w:rPr>
                                <w:rStyle w:val="Strong"/>
                                <w:rFonts w:cs="Calibri"/>
                              </w:rPr>
                              <w:t>uncompromising academic standards</w:t>
                            </w:r>
                            <w:r>
                              <w:rPr>
                                <w:rStyle w:val="Strong"/>
                                <w:rFonts w:cs="Calibri"/>
                                <w:b w:val="false"/>
                              </w:rPr>
                              <w:t xml:space="preserve"> and holistic care. Free from classroom teaching responsibilities, this role focuses entirely on overcoming learning barriers, ensuring that every pupil, regardless of need, achieves exceptional individual progress.</w:t>
                            </w:r>
                          </w:p>
                        </w:txbxContent>
                      </wps:txbx>
                      <wps:bodyPr anchor="t" lIns="92075" tIns="46355" rIns="92075" bIns="46355">
                        <a:noAutofit/>
                      </wps:bodyPr>
                    </wps:wsp>
                  </a:graphicData>
                </a:graphic>
              </wp:anchor>
            </w:drawing>
          </mc:Choice>
          <mc:Fallback>
            <w:pict>
              <v:rect fillcolor="#FFFFFF" style="position:absolute;rotation:-0;width:491.25pt;height:131.25pt;mso-wrap-distance-left:0pt;mso-wrap-distance-right:0pt;mso-wrap-distance-top:5.7pt;mso-wrap-distance-bottom:5.7pt;margin-top:131.85pt;mso-position-vertical-relative:text;margin-left:-16.5pt;mso-position-horizontal-relative:margin">
                <v:textbox inset="0.100694444444444in,0.0506944444444444in,0.100694444444444in,0.0506944444444444in">
                  <w:txbxContent>
                    <w:p>
                      <w:pPr>
                        <w:pStyle w:val="FrameContents"/>
                        <w:rPr/>
                      </w:pPr>
                      <w:r>
                        <w:rPr>
                          <w:rStyle w:val="Strong"/>
                          <w:rFonts w:cs="Calibri"/>
                          <w:b w:val="false"/>
                          <w:sz w:val="28"/>
                          <w:szCs w:val="28"/>
                        </w:rPr>
                        <w:t>Job Purpose</w:t>
                      </w:r>
                    </w:p>
                    <w:p>
                      <w:pPr>
                        <w:pStyle w:val="FrameContents"/>
                        <w:spacing w:before="0" w:after="160"/>
                        <w:rPr/>
                      </w:pPr>
                      <w:r>
                        <w:rPr>
                          <w:rStyle w:val="Strong"/>
                          <w:rFonts w:cs="Calibri"/>
                          <w:b w:val="false"/>
                        </w:rPr>
                        <w:t xml:space="preserve">The SENDCO will provide </w:t>
                      </w:r>
                      <w:r>
                        <w:rPr>
                          <w:rStyle w:val="Strong"/>
                          <w:rFonts w:cs="Calibri"/>
                        </w:rPr>
                        <w:t>high-level strategic leadership</w:t>
                      </w:r>
                      <w:r>
                        <w:rPr>
                          <w:rStyle w:val="Strong"/>
                          <w:rFonts w:cs="Calibri"/>
                          <w:b w:val="false"/>
                        </w:rPr>
                        <w:t xml:space="preserve"> to shape, implement, and oversee the school’s Special Educational Needs and Disabilities (SEND) policy. Operating in an ambitious, high-attaining primary school, the successful candidate will champion a culture of </w:t>
                      </w:r>
                      <w:r>
                        <w:rPr>
                          <w:rStyle w:val="Strong"/>
                          <w:rFonts w:cs="Calibri"/>
                        </w:rPr>
                        <w:t>uncompromising academic standards</w:t>
                      </w:r>
                      <w:r>
                        <w:rPr>
                          <w:rStyle w:val="Strong"/>
                          <w:rFonts w:cs="Calibri"/>
                          <w:b w:val="false"/>
                        </w:rPr>
                        <w:t xml:space="preserve"> and holistic care. Free from classroom teaching responsibilities, this role focuses entirely on overcoming learning barriers, ensuring that every pupil, regardless of need, achieves exceptional individual progress.</w:t>
                      </w:r>
                    </w:p>
                  </w:txbxContent>
                </v:textbox>
                <w10:wrap type="none"/>
              </v:rect>
            </w:pict>
          </mc:Fallback>
        </mc:AlternateContent>
      </w:r>
    </w:p>
    <w:p>
      <w:pPr>
        <w:pStyle w:val="Normal"/>
        <w:rPr/>
      </w:pPr>
      <w:r>
        <w:rPr/>
      </w:r>
    </w:p>
    <w:p>
      <w:pPr>
        <w:pStyle w:val="Normal"/>
        <w:rPr/>
      </w:pPr>
      <w:r>
        <w:rPr/>
      </w:r>
    </w:p>
    <w:p>
      <w:pPr>
        <w:pStyle w:val="Normal"/>
        <w:rPr/>
      </w:pPr>
      <w:r>
        <w:rPr/>
      </w:r>
    </w:p>
    <w:p>
      <w:pPr>
        <w:pStyle w:val="Normal"/>
        <w:rPr/>
      </w:pPr>
      <w:r>
        <w:rPr/>
      </w:r>
    </w:p>
    <w:p>
      <w:pPr>
        <w:pStyle w:val="Normal"/>
        <w:rPr/>
      </w:pPr>
      <w:r>
        <w:rPr/>
      </w:r>
      <w:bookmarkStart w:id="0" w:name="_GoBack"/>
      <w:bookmarkStart w:id="1" w:name="_GoBack"/>
      <w:bookmarkEnd w:id="1"/>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20"/>
          <w:tab w:val="left" w:pos="3165" w:leader="none"/>
        </w:tabs>
        <w:rPr/>
      </w:pPr>
      <w:r>
        <w:rPr/>
        <w:tab/>
      </w:r>
    </w:p>
    <w:p>
      <w:pPr>
        <w:pStyle w:val="Normal"/>
        <w:tabs>
          <w:tab w:val="clear" w:pos="720"/>
          <w:tab w:val="left" w:pos="3165" w:leader="none"/>
        </w:tabs>
        <w:rPr/>
      </w:pPr>
      <w:r>
        <w:rPr/>
      </w:r>
    </w:p>
    <w:p>
      <w:pPr>
        <w:pStyle w:val="Normal"/>
        <w:tabs>
          <w:tab w:val="clear" w:pos="720"/>
          <w:tab w:val="left" w:pos="3165" w:leader="none"/>
        </w:tabs>
        <w:rPr/>
      </w:pPr>
      <w:r>
        <w:rPr/>
      </w:r>
    </w:p>
    <w:p>
      <w:pPr>
        <w:pStyle w:val="Normal"/>
        <w:tabs>
          <w:tab w:val="clear" w:pos="720"/>
          <w:tab w:val="left" w:pos="3165" w:leader="none"/>
        </w:tabs>
        <w:rPr/>
      </w:pPr>
      <w:r>
        <w:rPr/>
      </w:r>
    </w:p>
    <w:p>
      <w:pPr>
        <w:pStyle w:val="Normal"/>
        <w:rPr/>
      </w:pPr>
      <w:r>
        <w:rPr/>
        <mc:AlternateContent>
          <mc:Choice Requires="wps">
            <w:drawing>
              <wp:anchor behindDoc="0" distT="0" distB="0" distL="114935" distR="114935" simplePos="0" locked="0" layoutInCell="0" allowOverlap="1" relativeHeight="22">
                <wp:simplePos x="0" y="0"/>
                <wp:positionH relativeFrom="margin">
                  <wp:posOffset>-273050</wp:posOffset>
                </wp:positionH>
                <wp:positionV relativeFrom="paragraph">
                  <wp:posOffset>-456565</wp:posOffset>
                </wp:positionV>
                <wp:extent cx="6238875" cy="3133725"/>
                <wp:effectExtent l="0" t="0" r="0" b="0"/>
                <wp:wrapNone/>
                <wp:docPr id="9" name=""/>
                <a:graphic xmlns:a="http://schemas.openxmlformats.org/drawingml/2006/main">
                  <a:graphicData uri="http://schemas.microsoft.com/office/word/2010/wordprocessingShape">
                    <wps:wsp>
                      <wps:cNvSpPr txBox="1"/>
                      <wps:spPr>
                        <a:xfrm>
                          <a:off x="0" y="0"/>
                          <a:ext cx="6238800" cy="3133800"/>
                        </a:xfrm>
                        <a:prstGeom prst="rect">
                          <a:avLst/>
                        </a:prstGeom>
                        <a:noFill/>
                        <a:ln w="0">
                          <a:noFill/>
                        </a:ln>
                      </wps:spPr>
                      <wps:bodyPr/>
                    </wps:wsp>
                  </a:graphicData>
                </a:graphic>
              </wp:anchor>
            </w:drawing>
          </mc:Choice>
          <mc:Fallback>
            <w:pict>
              <v:shape id="shape_0" stroked="f" o:allowincell="f" style="position:absolute;margin-left:-21.5pt;margin-top:-35.95pt;width:491.2pt;height:246.7pt;mso-wrap-style:none;v-text-anchor:middle;mso-position-horizontal-relative:margin"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on="false"/>
                <v:stroke color="#3465a4" joinstyle="round" endcap="flat"/>
                <w10:wrap type="none"/>
              </v:shape>
            </w:pict>
          </mc:Fallback>
        </mc:AlternateContent>
      </w:r>
      <w:r>
        <mc:AlternateContent>
          <mc:Choice Requires="wps">
            <w:drawing>
              <wp:anchor behindDoc="0" distT="72390" distB="72390" distL="0" distR="0" simplePos="0" locked="0" layoutInCell="0" allowOverlap="1" relativeHeight="28">
                <wp:simplePos x="0" y="0"/>
                <wp:positionH relativeFrom="margin">
                  <wp:posOffset>-273050</wp:posOffset>
                </wp:positionH>
                <wp:positionV relativeFrom="paragraph">
                  <wp:posOffset>-456565</wp:posOffset>
                </wp:positionV>
                <wp:extent cx="6238875" cy="3133725"/>
                <wp:effectExtent l="0" t="0" r="0" b="0"/>
                <wp:wrapNone/>
                <wp:docPr id="10" name="Frame5"/>
                <a:graphic xmlns:a="http://schemas.openxmlformats.org/drawingml/2006/main">
                  <a:graphicData uri="http://schemas.microsoft.com/office/word/2010/wordprocessingShape">
                    <wps:wsp>
                      <wps:cNvSpPr txBox="1"/>
                      <wps:spPr>
                        <a:xfrm>
                          <a:off x="0" y="0"/>
                          <a:ext cx="6238875" cy="3133725"/>
                        </a:xfrm>
                        <a:prstGeom prst="rect"/>
                        <a:solidFill>
                          <a:srgbClr val="FFFFFF"/>
                        </a:solidFill>
                      </wps:spPr>
                      <wps:txbx>
                        <w:txbxContent>
                          <w:p>
                            <w:pPr>
                              <w:pStyle w:val="FrameContents"/>
                              <w:rPr/>
                            </w:pPr>
                            <w:r>
                              <w:rPr>
                                <w:rStyle w:val="Strong"/>
                                <w:rFonts w:cs="Calibri"/>
                                <w:b w:val="false"/>
                                <w:sz w:val="28"/>
                                <w:szCs w:val="28"/>
                              </w:rPr>
                              <w:t>3. Team Leadership and Staff Development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Line Management: Directly manage, deploy, and evaluate the Inclusion Team, including HLTAs and LSAs, to ensure high-impact classroom support.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CPD and Mentorship: Act as an expert pedagogical mentor, delivering regular training to teaching staff to elevate their capacity for inclusive teaching.</w:t>
                            </w:r>
                          </w:p>
                          <w:p>
                            <w:pPr>
                              <w:pStyle w:val="FrameContents"/>
                              <w:rPr/>
                            </w:pPr>
                            <w:r>
                              <w:rPr>
                                <w:rStyle w:val="Strong"/>
                                <w:rFonts w:cs="Calibri"/>
                                <w:b w:val="false"/>
                                <w:sz w:val="28"/>
                                <w:szCs w:val="28"/>
                              </w:rPr>
                              <w:t>4. External Partnerships and Stakeholder Engagement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Parent Collaboration: Build exemplary, transparent partnerships with parents and carers. Keep them comprehensively informed of targets, support strategies, and outcomes.</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Multi-Agency Liaison: Act as the principal point of contact for external professionals, including Educational Psychologists, CAMHS, Speech and Language Therapists, and Local Authority SEND teams.</w:t>
                            </w:r>
                          </w:p>
                          <w:p>
                            <w:pPr>
                              <w:pStyle w:val="FrameContents"/>
                              <w:spacing w:before="0" w:after="160"/>
                              <w:rPr/>
                            </w:pPr>
                            <w:r>
                              <w:rPr>
                                <w:rStyle w:val="Strong"/>
                                <w:rFonts w:cs="Calibri"/>
                                <w:b w:val="false"/>
                              </w:rPr>
                              <w:t>•</w:t>
                            </w:r>
                            <w:r>
                              <w:rPr>
                                <w:rStyle w:val="Strong"/>
                                <w:rFonts w:eastAsia="Calibri" w:cs="Calibri"/>
                                <w:b w:val="false"/>
                              </w:rPr>
                              <w:t xml:space="preserve"> </w:t>
                            </w:r>
                            <w:r>
                              <w:rPr>
                                <w:rStyle w:val="Strong"/>
                                <w:rFonts w:cs="Calibri"/>
                                <w:b w:val="false"/>
                              </w:rPr>
                              <w:t>EHCP Management: Lead the statutory Education, Health and Care Plan (EHCP) annual review process from drafting through to submission.</w:t>
                            </w:r>
                          </w:p>
                        </w:txbxContent>
                      </wps:txbx>
                      <wps:bodyPr anchor="t" lIns="92075" tIns="46355" rIns="92075" bIns="46355">
                        <a:noAutofit/>
                      </wps:bodyPr>
                    </wps:wsp>
                  </a:graphicData>
                </a:graphic>
              </wp:anchor>
            </w:drawing>
          </mc:Choice>
          <mc:Fallback>
            <w:pict>
              <v:rect fillcolor="#FFFFFF" style="position:absolute;rotation:-0;width:491.25pt;height:246.75pt;mso-wrap-distance-left:0pt;mso-wrap-distance-right:0pt;mso-wrap-distance-top:5.7pt;mso-wrap-distance-bottom:5.7pt;margin-top:-35.95pt;mso-position-vertical-relative:text;margin-left:-21.5pt;mso-position-horizontal-relative:margin">
                <v:textbox inset="0.100694444444444in,0.0506944444444444in,0.100694444444444in,0.0506944444444444in">
                  <w:txbxContent>
                    <w:p>
                      <w:pPr>
                        <w:pStyle w:val="FrameContents"/>
                        <w:rPr/>
                      </w:pPr>
                      <w:r>
                        <w:rPr>
                          <w:rStyle w:val="Strong"/>
                          <w:rFonts w:cs="Calibri"/>
                          <w:b w:val="false"/>
                          <w:sz w:val="28"/>
                          <w:szCs w:val="28"/>
                        </w:rPr>
                        <w:t>3. Team Leadership and Staff Development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Line Management: Directly manage, deploy, and evaluate the Inclusion Team, including HLTAs and LSAs, to ensure high-impact classroom support.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CPD and Mentorship: Act as an expert pedagogical mentor, delivering regular training to teaching staff to elevate their capacity for inclusive teaching.</w:t>
                      </w:r>
                    </w:p>
                    <w:p>
                      <w:pPr>
                        <w:pStyle w:val="FrameContents"/>
                        <w:rPr/>
                      </w:pPr>
                      <w:r>
                        <w:rPr>
                          <w:rStyle w:val="Strong"/>
                          <w:rFonts w:cs="Calibri"/>
                          <w:b w:val="false"/>
                          <w:sz w:val="28"/>
                          <w:szCs w:val="28"/>
                        </w:rPr>
                        <w:t>4. External Partnerships and Stakeholder Engagement</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Parent Collaboration: Build exemplary, transparent partnerships with parents and carers. Keep them comprehensively informed of targets, support strategies, and outcomes.</w:t>
                      </w:r>
                    </w:p>
                    <w:p>
                      <w:pPr>
                        <w:pStyle w:val="FrameContents"/>
                        <w:rPr/>
                      </w:pPr>
                      <w:r>
                        <w:rPr>
                          <w:rStyle w:val="Strong"/>
                          <w:rFonts w:cs="Calibri"/>
                          <w:b w:val="false"/>
                        </w:rPr>
                        <w:t>•</w:t>
                      </w:r>
                      <w:r>
                        <w:rPr>
                          <w:rStyle w:val="Strong"/>
                          <w:rFonts w:eastAsia="Calibri" w:cs="Calibri"/>
                          <w:b w:val="false"/>
                        </w:rPr>
                        <w:t xml:space="preserve"> </w:t>
                      </w:r>
                      <w:r>
                        <w:rPr>
                          <w:rStyle w:val="Strong"/>
                          <w:rFonts w:cs="Calibri"/>
                          <w:b w:val="false"/>
                        </w:rPr>
                        <w:t>Multi-Agency Liaison: Act as the principal point of contact for external professionals, including Educational Psychologists, CAMHS, Speech and Language Therapists, and Local Authority SEND teams.</w:t>
                      </w:r>
                    </w:p>
                    <w:p>
                      <w:pPr>
                        <w:pStyle w:val="FrameContents"/>
                        <w:spacing w:before="0" w:after="160"/>
                        <w:rPr/>
                      </w:pPr>
                      <w:r>
                        <w:rPr>
                          <w:rStyle w:val="Strong"/>
                          <w:rFonts w:cs="Calibri"/>
                          <w:b w:val="false"/>
                        </w:rPr>
                        <w:t>•</w:t>
                      </w:r>
                      <w:r>
                        <w:rPr>
                          <w:rStyle w:val="Strong"/>
                          <w:rFonts w:eastAsia="Calibri" w:cs="Calibri"/>
                          <w:b w:val="false"/>
                        </w:rPr>
                        <w:t xml:space="preserve"> </w:t>
                      </w:r>
                      <w:r>
                        <w:rPr>
                          <w:rStyle w:val="Strong"/>
                          <w:rFonts w:cs="Calibri"/>
                          <w:b w:val="false"/>
                        </w:rPr>
                        <w:t>EHCP Management: Lead the statutory Education, Health and Care Plan (EHCP) annual review process from drafting through to submission.</w:t>
                      </w:r>
                    </w:p>
                  </w:txbxContent>
                </v:textbox>
                <w10:wrap type="none"/>
              </v:rect>
            </w:pict>
          </mc:Fallback>
        </mc:AlternateConten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W w:w="9493" w:type="dxa"/>
        <w:jc w:val="left"/>
        <w:tblInd w:w="108" w:type="dxa"/>
        <w:tblLayout w:type="fixed"/>
        <w:tblCellMar>
          <w:top w:w="0" w:type="dxa"/>
          <w:left w:w="108" w:type="dxa"/>
          <w:bottom w:w="0" w:type="dxa"/>
          <w:right w:w="108" w:type="dxa"/>
        </w:tblCellMar>
      </w:tblPr>
      <w:tblGrid>
        <w:gridCol w:w="1837"/>
        <w:gridCol w:w="3828"/>
        <w:gridCol w:w="3828"/>
      </w:tblGrid>
      <w:tr>
        <w:trPr/>
        <w:tc>
          <w:tcPr>
            <w:tcW w:w="9493" w:type="dxa"/>
            <w:gridSpan w:val="3"/>
            <w:tcBorders>
              <w:bottom w:val="single" w:sz="4" w:space="0" w:color="7F7F7F"/>
            </w:tcBorders>
            <w:shd w:fill="FFFFFF" w:val="clear"/>
          </w:tcPr>
          <w:p>
            <w:pPr>
              <w:pStyle w:val="Normal"/>
              <w:tabs>
                <w:tab w:val="clear" w:pos="720"/>
                <w:tab w:val="left" w:pos="975" w:leader="none"/>
              </w:tabs>
              <w:spacing w:lineRule="auto" w:line="240" w:before="0" w:after="0"/>
              <w:jc w:val="center"/>
              <w:rPr>
                <w:rFonts w:ascii="Calibri Light" w:hAnsi="Calibri Light" w:eastAsia="" w:cs="Calibri Light"/>
                <w:b/>
                <w:i/>
                <w:i/>
                <w:iCs/>
                <w:sz w:val="28"/>
                <w:szCs w:val="28"/>
              </w:rPr>
            </w:pPr>
            <w:r>
              <w:rPr>
                <w:rFonts w:eastAsia="" w:cs="Calibri Light" w:ascii="Calibri Light" w:hAnsi="Calibri Light"/>
                <w:b/>
                <w:i/>
                <w:iCs/>
                <w:sz w:val="28"/>
                <w:szCs w:val="28"/>
              </w:rPr>
              <w:t>Person Specification</w:t>
            </w:r>
          </w:p>
        </w:tc>
      </w:tr>
      <w:tr>
        <w:trPr/>
        <w:tc>
          <w:tcPr>
            <w:tcW w:w="1837" w:type="dxa"/>
            <w:tcBorders>
              <w:right w:val="single" w:sz="4" w:space="0" w:color="7F7F7F"/>
            </w:tcBorders>
            <w:shd w:fill="FFFFFF" w:val="clear"/>
          </w:tcPr>
          <w:p>
            <w:pPr>
              <w:pStyle w:val="Normal"/>
              <w:tabs>
                <w:tab w:val="clear" w:pos="720"/>
                <w:tab w:val="left" w:pos="975" w:leader="none"/>
              </w:tabs>
              <w:spacing w:lineRule="auto" w:line="240" w:before="0" w:after="0"/>
              <w:jc w:val="right"/>
              <w:rPr>
                <w:rFonts w:ascii="Calibri Light" w:hAnsi="Calibri Light" w:eastAsia="" w:cs="Calibri Light"/>
                <w:i/>
                <w:i/>
                <w:iCs/>
                <w:sz w:val="28"/>
                <w:szCs w:val="28"/>
              </w:rPr>
            </w:pPr>
            <w:r>
              <w:rPr>
                <w:rFonts w:eastAsia="" w:cs="Calibri Light" w:ascii="Calibri Light" w:hAnsi="Calibri Light"/>
                <w:i/>
                <w:iCs/>
                <w:sz w:val="28"/>
                <w:szCs w:val="28"/>
              </w:rPr>
              <w:t>Criteria</w:t>
            </w:r>
          </w:p>
        </w:tc>
        <w:tc>
          <w:tcPr>
            <w:tcW w:w="3828" w:type="dxa"/>
            <w:tcBorders/>
            <w:shd w:fill="F2F2F2" w:val="clear"/>
          </w:tcPr>
          <w:p>
            <w:pPr>
              <w:pStyle w:val="Normal"/>
              <w:tabs>
                <w:tab w:val="clear" w:pos="720"/>
                <w:tab w:val="left" w:pos="975" w:leader="none"/>
              </w:tabs>
              <w:spacing w:lineRule="auto" w:line="240" w:before="0" w:after="0"/>
              <w:rPr>
                <w:sz w:val="28"/>
                <w:szCs w:val="28"/>
              </w:rPr>
            </w:pPr>
            <w:r>
              <w:rPr>
                <w:sz w:val="28"/>
                <w:szCs w:val="28"/>
              </w:rPr>
              <w:t>Essential</w:t>
            </w:r>
          </w:p>
        </w:tc>
        <w:tc>
          <w:tcPr>
            <w:tcW w:w="3828" w:type="dxa"/>
            <w:tcBorders/>
            <w:shd w:fill="F2F2F2" w:val="clear"/>
          </w:tcPr>
          <w:p>
            <w:pPr>
              <w:pStyle w:val="Normal"/>
              <w:tabs>
                <w:tab w:val="clear" w:pos="720"/>
                <w:tab w:val="left" w:pos="975" w:leader="none"/>
              </w:tabs>
              <w:spacing w:lineRule="auto" w:line="240" w:before="0" w:after="0"/>
              <w:rPr>
                <w:sz w:val="28"/>
                <w:szCs w:val="28"/>
              </w:rPr>
            </w:pPr>
            <w:r>
              <w:rPr>
                <w:sz w:val="28"/>
                <w:szCs w:val="28"/>
              </w:rPr>
              <w:t>Desirable</w:t>
            </w:r>
          </w:p>
        </w:tc>
      </w:tr>
      <w:tr>
        <w:trPr/>
        <w:tc>
          <w:tcPr>
            <w:tcW w:w="1837" w:type="dxa"/>
            <w:tcBorders>
              <w:right w:val="single" w:sz="4" w:space="0" w:color="7F7F7F"/>
            </w:tcBorders>
            <w:shd w:fill="FFFFFF" w:val="clear"/>
          </w:tcPr>
          <w:p>
            <w:pPr>
              <w:pStyle w:val="Normal"/>
              <w:tabs>
                <w:tab w:val="clear" w:pos="720"/>
                <w:tab w:val="left" w:pos="975" w:leader="none"/>
              </w:tabs>
              <w:spacing w:lineRule="auto" w:line="240" w:before="0" w:after="0"/>
              <w:jc w:val="right"/>
              <w:rPr>
                <w:rFonts w:ascii="Calibri Light" w:hAnsi="Calibri Light" w:eastAsia="" w:cs="Calibri Light"/>
                <w:i/>
                <w:i/>
                <w:iCs/>
                <w:sz w:val="28"/>
                <w:szCs w:val="28"/>
              </w:rPr>
            </w:pPr>
            <w:r>
              <w:rPr>
                <w:rFonts w:eastAsia="" w:cs="Calibri Light" w:ascii="Calibri Light" w:hAnsi="Calibri Light"/>
                <w:i/>
                <w:iCs/>
                <w:sz w:val="28"/>
                <w:szCs w:val="28"/>
              </w:rPr>
              <w:t>Qualifications</w:t>
            </w:r>
          </w:p>
        </w:tc>
        <w:tc>
          <w:tcPr>
            <w:tcW w:w="3828" w:type="dxa"/>
            <w:tcBorders/>
          </w:tcPr>
          <w:p>
            <w:pPr>
              <w:pStyle w:val="Normal"/>
              <w:tabs>
                <w:tab w:val="clear" w:pos="720"/>
                <w:tab w:val="left" w:pos="975" w:leader="none"/>
              </w:tabs>
              <w:spacing w:lineRule="auto" w:line="240" w:before="0" w:after="0"/>
              <w:rPr/>
            </w:pPr>
            <w:r>
              <w:rPr/>
              <w:t>•</w:t>
            </w:r>
            <w:r>
              <w:rPr>
                <w:rFonts w:eastAsia="Calibri" w:cs="Calibri"/>
              </w:rPr>
              <w:t xml:space="preserve"> </w:t>
            </w:r>
            <w:r>
              <w:rPr/>
              <w:t>Qualified Teacher Status (QTS).</w:t>
            </w:r>
          </w:p>
          <w:p>
            <w:pPr>
              <w:pStyle w:val="Normal"/>
              <w:tabs>
                <w:tab w:val="clear" w:pos="720"/>
                <w:tab w:val="left" w:pos="975" w:leader="none"/>
              </w:tabs>
              <w:spacing w:lineRule="auto" w:line="240" w:before="0" w:after="0"/>
              <w:rPr/>
            </w:pPr>
            <w:r>
              <w:rPr/>
              <w:t>•</w:t>
            </w:r>
            <w:r>
              <w:rPr>
                <w:rFonts w:eastAsia="Calibri" w:cs="Calibri"/>
              </w:rPr>
              <w:t xml:space="preserve"> </w:t>
            </w:r>
            <w:r>
              <w:rPr/>
              <w:t>National Award for SEN Co-ordination (NASENCO) or equivalent National Professional Qualification for SENDCOs (NPQ SENCO).</w:t>
            </w:r>
          </w:p>
        </w:tc>
        <w:tc>
          <w:tcPr>
            <w:tcW w:w="3828" w:type="dxa"/>
            <w:tcBorders/>
          </w:tcPr>
          <w:p>
            <w:pPr>
              <w:pStyle w:val="Normal"/>
              <w:tabs>
                <w:tab w:val="clear" w:pos="720"/>
                <w:tab w:val="left" w:pos="975" w:leader="none"/>
              </w:tabs>
              <w:spacing w:lineRule="auto" w:line="240" w:before="0" w:after="0"/>
              <w:rPr/>
            </w:pPr>
            <w:r>
              <w:rPr/>
              <w:t>•</w:t>
            </w:r>
            <w:r>
              <w:rPr>
                <w:rFonts w:eastAsia="Calibri" w:cs="Calibri"/>
              </w:rPr>
              <w:t xml:space="preserve"> </w:t>
            </w:r>
            <w:r>
              <w:rPr/>
              <w:t>Post-graduate qualification in educational assessment, psychology, or specific learning difficulties (e.g., Dyslexia certification).</w:t>
            </w:r>
          </w:p>
        </w:tc>
      </w:tr>
      <w:tr>
        <w:trPr/>
        <w:tc>
          <w:tcPr>
            <w:tcW w:w="1837" w:type="dxa"/>
            <w:tcBorders>
              <w:right w:val="single" w:sz="4" w:space="0" w:color="7F7F7F"/>
            </w:tcBorders>
            <w:shd w:fill="FFFFFF" w:val="clear"/>
          </w:tcPr>
          <w:p>
            <w:pPr>
              <w:pStyle w:val="Normal"/>
              <w:tabs>
                <w:tab w:val="clear" w:pos="720"/>
                <w:tab w:val="left" w:pos="975" w:leader="none"/>
              </w:tabs>
              <w:spacing w:lineRule="auto" w:line="240" w:before="0" w:after="0"/>
              <w:jc w:val="right"/>
              <w:rPr>
                <w:rFonts w:ascii="Calibri Light" w:hAnsi="Calibri Light" w:eastAsia="" w:cs="Calibri Light"/>
                <w:i/>
                <w:i/>
                <w:iCs/>
                <w:sz w:val="28"/>
                <w:szCs w:val="28"/>
              </w:rPr>
            </w:pPr>
            <w:r>
              <w:rPr>
                <w:rFonts w:eastAsia="" w:cs="Calibri Light" w:ascii="Calibri Light" w:hAnsi="Calibri Light"/>
                <w:i/>
                <w:iCs/>
                <w:sz w:val="28"/>
                <w:szCs w:val="28"/>
              </w:rPr>
              <w:t>Experience</w:t>
            </w:r>
          </w:p>
        </w:tc>
        <w:tc>
          <w:tcPr>
            <w:tcW w:w="3828" w:type="dxa"/>
            <w:tcBorders/>
            <w:shd w:fill="F2F2F2" w:val="clear"/>
          </w:tcPr>
          <w:p>
            <w:pPr>
              <w:pStyle w:val="Normal"/>
              <w:tabs>
                <w:tab w:val="clear" w:pos="720"/>
                <w:tab w:val="left" w:pos="975" w:leader="none"/>
              </w:tabs>
              <w:spacing w:lineRule="auto" w:line="240" w:before="0" w:after="0"/>
              <w:rPr/>
            </w:pPr>
            <w:r>
              <w:rPr/>
              <w:t>•</w:t>
            </w:r>
            <w:r>
              <w:rPr>
                <w:rFonts w:eastAsia="Calibri" w:cs="Calibri"/>
              </w:rPr>
              <w:t xml:space="preserve"> </w:t>
            </w:r>
            <w:r>
              <w:rPr/>
              <w:t>Proven track record of successful teaching across primary key stages.</w:t>
            </w:r>
          </w:p>
          <w:p>
            <w:pPr>
              <w:pStyle w:val="Normal"/>
              <w:tabs>
                <w:tab w:val="clear" w:pos="720"/>
                <w:tab w:val="left" w:pos="975" w:leader="none"/>
              </w:tabs>
              <w:spacing w:lineRule="auto" w:line="240" w:before="0" w:after="0"/>
              <w:rPr/>
            </w:pPr>
            <w:r>
              <w:rPr/>
              <w:t>•</w:t>
            </w:r>
            <w:r>
              <w:rPr>
                <w:rFonts w:eastAsia="Calibri" w:cs="Calibri"/>
              </w:rPr>
              <w:t xml:space="preserve"> </w:t>
            </w:r>
            <w:r>
              <w:rPr/>
              <w:t>Demonstrable success in accelerating the academic progress of children with SEND across a school.</w:t>
            </w:r>
          </w:p>
          <w:p>
            <w:pPr>
              <w:pStyle w:val="Normal"/>
              <w:tabs>
                <w:tab w:val="clear" w:pos="720"/>
                <w:tab w:val="left" w:pos="975" w:leader="none"/>
              </w:tabs>
              <w:spacing w:lineRule="auto" w:line="240" w:before="0" w:after="0"/>
              <w:rPr/>
            </w:pPr>
            <w:r>
              <w:rPr/>
              <w:t>•</w:t>
            </w:r>
            <w:r>
              <w:rPr>
                <w:rFonts w:eastAsia="Calibri" w:cs="Calibri"/>
              </w:rPr>
              <w:t xml:space="preserve"> </w:t>
            </w:r>
            <w:r>
              <w:rPr/>
              <w:t>Experience leading initiatives and teams within an educational setting.</w:t>
            </w:r>
          </w:p>
          <w:p>
            <w:pPr>
              <w:pStyle w:val="Normal"/>
              <w:tabs>
                <w:tab w:val="clear" w:pos="720"/>
                <w:tab w:val="left" w:pos="975" w:leader="none"/>
              </w:tabs>
              <w:spacing w:lineRule="auto" w:line="240" w:before="0" w:after="0"/>
              <w:rPr/>
            </w:pPr>
            <w:r>
              <w:rPr/>
              <w:t>•</w:t>
            </w:r>
            <w:r>
              <w:rPr>
                <w:rFonts w:eastAsia="Calibri" w:cs="Calibri"/>
              </w:rPr>
              <w:t xml:space="preserve"> </w:t>
            </w:r>
            <w:r>
              <w:rPr/>
              <w:t>Substantial experience of being the named SENDCO within a primary school.</w:t>
            </w:r>
          </w:p>
        </w:tc>
        <w:tc>
          <w:tcPr>
            <w:tcW w:w="3828" w:type="dxa"/>
            <w:tcBorders/>
            <w:shd w:fill="F2F2F2" w:val="clear"/>
          </w:tcPr>
          <w:p>
            <w:pPr>
              <w:pStyle w:val="Normal"/>
              <w:tabs>
                <w:tab w:val="clear" w:pos="720"/>
                <w:tab w:val="left" w:pos="975" w:leader="none"/>
              </w:tabs>
              <w:spacing w:lineRule="auto" w:line="240" w:before="0" w:after="0"/>
              <w:rPr/>
            </w:pPr>
            <w:r>
              <w:rPr/>
              <w:t>•</w:t>
            </w:r>
            <w:r>
              <w:rPr>
                <w:rFonts w:eastAsia="Calibri" w:cs="Calibri"/>
              </w:rPr>
              <w:t xml:space="preserve"> </w:t>
            </w:r>
            <w:r>
              <w:rPr/>
              <w:t>Previous experience as a non-teaching SENDCO or Assistant SENDCO in a high-attaining school environment.</w:t>
            </w:r>
          </w:p>
          <w:p>
            <w:pPr>
              <w:pStyle w:val="Normal"/>
              <w:tabs>
                <w:tab w:val="clear" w:pos="720"/>
                <w:tab w:val="left" w:pos="975" w:leader="none"/>
              </w:tabs>
              <w:spacing w:lineRule="auto" w:line="240" w:before="0" w:after="0"/>
              <w:rPr/>
            </w:pPr>
            <w:r>
              <w:rPr/>
              <w:t>•</w:t>
            </w:r>
            <w:r>
              <w:rPr>
                <w:rFonts w:eastAsia="Calibri" w:cs="Calibri"/>
              </w:rPr>
              <w:t xml:space="preserve"> </w:t>
            </w:r>
            <w:r>
              <w:rPr/>
              <w:t>Experience managing statutory EHCP workflows and funding requests leading to successful EHCP applications and increased funding</w:t>
            </w:r>
          </w:p>
        </w:tc>
      </w:tr>
      <w:tr>
        <w:trPr/>
        <w:tc>
          <w:tcPr>
            <w:tcW w:w="1837" w:type="dxa"/>
            <w:tcBorders>
              <w:right w:val="single" w:sz="4" w:space="0" w:color="7F7F7F"/>
            </w:tcBorders>
            <w:shd w:fill="FFFFFF" w:val="clear"/>
          </w:tcPr>
          <w:p>
            <w:pPr>
              <w:pStyle w:val="Normal"/>
              <w:tabs>
                <w:tab w:val="clear" w:pos="720"/>
                <w:tab w:val="left" w:pos="975" w:leader="none"/>
              </w:tabs>
              <w:spacing w:lineRule="auto" w:line="240" w:before="0" w:after="0"/>
              <w:jc w:val="right"/>
              <w:rPr>
                <w:rFonts w:ascii="Calibri Light" w:hAnsi="Calibri Light" w:eastAsia="" w:cs="Calibri Light"/>
                <w:i/>
                <w:i/>
                <w:iCs/>
                <w:sz w:val="28"/>
                <w:szCs w:val="28"/>
              </w:rPr>
            </w:pPr>
            <w:r>
              <w:rPr>
                <w:rFonts w:eastAsia="" w:cs="Calibri Light" w:ascii="Calibri Light" w:hAnsi="Calibri Light"/>
                <w:i/>
                <w:iCs/>
                <w:sz w:val="28"/>
                <w:szCs w:val="28"/>
              </w:rPr>
              <w:t>Knowledge</w:t>
            </w:r>
          </w:p>
        </w:tc>
        <w:tc>
          <w:tcPr>
            <w:tcW w:w="3828" w:type="dxa"/>
            <w:tcBorders/>
          </w:tcPr>
          <w:p>
            <w:pPr>
              <w:pStyle w:val="Normal"/>
              <w:tabs>
                <w:tab w:val="clear" w:pos="720"/>
                <w:tab w:val="left" w:pos="975" w:leader="none"/>
              </w:tabs>
              <w:spacing w:lineRule="auto" w:line="240" w:before="0" w:after="0"/>
              <w:rPr/>
            </w:pPr>
            <w:r>
              <w:rPr/>
              <w:t>•</w:t>
            </w:r>
            <w:r>
              <w:rPr>
                <w:rFonts w:eastAsia="Calibri" w:cs="Calibri"/>
              </w:rPr>
              <w:t xml:space="preserve"> </w:t>
            </w:r>
            <w:r>
              <w:rPr/>
              <w:t>Deep understanding of the SEND Code of Practice, statutory duties, and funding frameworks.</w:t>
            </w:r>
          </w:p>
          <w:p>
            <w:pPr>
              <w:pStyle w:val="Normal"/>
              <w:tabs>
                <w:tab w:val="clear" w:pos="720"/>
                <w:tab w:val="left" w:pos="975" w:leader="none"/>
              </w:tabs>
              <w:spacing w:lineRule="auto" w:line="240" w:before="0" w:after="0"/>
              <w:rPr/>
            </w:pPr>
            <w:r>
              <w:rPr/>
              <w:t>•</w:t>
            </w:r>
            <w:r>
              <w:rPr>
                <w:rFonts w:eastAsia="Calibri" w:cs="Calibri"/>
              </w:rPr>
              <w:t xml:space="preserve"> </w:t>
            </w:r>
            <w:r>
              <w:rPr/>
              <w:t>Thorough knowledge of tracking data systems and evaluation methods.</w:t>
            </w:r>
          </w:p>
          <w:p>
            <w:pPr>
              <w:pStyle w:val="Normal"/>
              <w:tabs>
                <w:tab w:val="clear" w:pos="720"/>
                <w:tab w:val="left" w:pos="975" w:leader="none"/>
              </w:tabs>
              <w:spacing w:lineRule="auto" w:line="240" w:before="0" w:after="0"/>
              <w:rPr/>
            </w:pPr>
            <w:r>
              <w:rPr/>
              <w:t>•</w:t>
            </w:r>
            <w:r>
              <w:rPr>
                <w:rFonts w:eastAsia="Calibri" w:cs="Calibri"/>
              </w:rPr>
              <w:t xml:space="preserve"> </w:t>
            </w:r>
            <w:r>
              <w:rPr/>
              <w:t>Expertise in high-quality adaptive teaching, intervention styles, and primary pedagogy.</w:t>
            </w:r>
          </w:p>
        </w:tc>
        <w:tc>
          <w:tcPr>
            <w:tcW w:w="3828" w:type="dxa"/>
            <w:tcBorders/>
          </w:tcPr>
          <w:p>
            <w:pPr>
              <w:pStyle w:val="Normal"/>
              <w:tabs>
                <w:tab w:val="clear" w:pos="720"/>
                <w:tab w:val="left" w:pos="975" w:leader="none"/>
              </w:tabs>
              <w:spacing w:lineRule="auto" w:line="240" w:before="0" w:after="0"/>
              <w:rPr/>
            </w:pPr>
            <w:r>
              <w:rPr/>
              <w:t>•</w:t>
            </w:r>
            <w:r>
              <w:rPr>
                <w:rFonts w:eastAsia="Calibri" w:cs="Calibri"/>
              </w:rPr>
              <w:t xml:space="preserve"> </w:t>
            </w:r>
            <w:r>
              <w:rPr/>
              <w:t>Up-to-date awareness of innovative research, cognitive load theories, and emerging practices in SEND.</w:t>
            </w:r>
          </w:p>
        </w:tc>
      </w:tr>
      <w:tr>
        <w:trPr/>
        <w:tc>
          <w:tcPr>
            <w:tcW w:w="1837" w:type="dxa"/>
            <w:tcBorders>
              <w:right w:val="single" w:sz="4" w:space="0" w:color="7F7F7F"/>
            </w:tcBorders>
            <w:shd w:fill="FFFFFF" w:val="clear"/>
          </w:tcPr>
          <w:p>
            <w:pPr>
              <w:pStyle w:val="Normal"/>
              <w:tabs>
                <w:tab w:val="clear" w:pos="720"/>
                <w:tab w:val="left" w:pos="975" w:leader="none"/>
              </w:tabs>
              <w:spacing w:lineRule="auto" w:line="240" w:before="0" w:after="0"/>
              <w:jc w:val="right"/>
              <w:rPr>
                <w:rFonts w:ascii="Calibri Light" w:hAnsi="Calibri Light" w:eastAsia="" w:cs="Calibri Light"/>
                <w:i/>
                <w:i/>
                <w:iCs/>
                <w:sz w:val="28"/>
                <w:szCs w:val="28"/>
              </w:rPr>
            </w:pPr>
            <w:r>
              <w:rPr>
                <w:rFonts w:eastAsia="" w:cs="Calibri Light" w:ascii="Calibri Light" w:hAnsi="Calibri Light"/>
                <w:i/>
                <w:iCs/>
                <w:sz w:val="28"/>
                <w:szCs w:val="28"/>
              </w:rPr>
              <w:t>Skills and Attributes</w:t>
            </w:r>
          </w:p>
        </w:tc>
        <w:tc>
          <w:tcPr>
            <w:tcW w:w="3828" w:type="dxa"/>
            <w:tcBorders/>
            <w:shd w:fill="F2F2F2" w:val="clear"/>
          </w:tcPr>
          <w:p>
            <w:pPr>
              <w:pStyle w:val="Normal"/>
              <w:tabs>
                <w:tab w:val="clear" w:pos="720"/>
                <w:tab w:val="left" w:pos="975" w:leader="none"/>
              </w:tabs>
              <w:spacing w:lineRule="auto" w:line="240" w:before="0" w:after="0"/>
              <w:rPr/>
            </w:pPr>
            <w:r>
              <w:rPr/>
              <w:t>•</w:t>
            </w:r>
            <w:r>
              <w:rPr>
                <w:rFonts w:eastAsia="Calibri" w:cs="Calibri"/>
              </w:rPr>
              <w:t xml:space="preserve"> </w:t>
            </w:r>
            <w:r>
              <w:rPr/>
              <w:t>Exceptional interpersonal, verbal, and written communication skills.</w:t>
            </w:r>
          </w:p>
          <w:p>
            <w:pPr>
              <w:pStyle w:val="Normal"/>
              <w:tabs>
                <w:tab w:val="clear" w:pos="720"/>
                <w:tab w:val="left" w:pos="975" w:leader="none"/>
              </w:tabs>
              <w:spacing w:lineRule="auto" w:line="240" w:before="0" w:after="0"/>
              <w:rPr/>
            </w:pPr>
            <w:r>
              <w:rPr/>
              <w:t>•</w:t>
            </w:r>
            <w:r>
              <w:rPr>
                <w:rFonts w:eastAsia="Calibri" w:cs="Calibri"/>
              </w:rPr>
              <w:t xml:space="preserve"> </w:t>
            </w:r>
            <w:r>
              <w:rPr/>
              <w:t>Analytical mindset with the capacity to turn complex data into actionable steps.</w:t>
            </w:r>
          </w:p>
          <w:p>
            <w:pPr>
              <w:pStyle w:val="Normal"/>
              <w:tabs>
                <w:tab w:val="clear" w:pos="720"/>
                <w:tab w:val="left" w:pos="975" w:leader="none"/>
              </w:tabs>
              <w:spacing w:lineRule="auto" w:line="240" w:before="0" w:after="0"/>
              <w:rPr/>
            </w:pPr>
            <w:r>
              <w:rPr/>
              <w:t>•</w:t>
            </w:r>
            <w:r>
              <w:rPr>
                <w:rFonts w:eastAsia="Calibri" w:cs="Calibri"/>
              </w:rPr>
              <w:t xml:space="preserve"> </w:t>
            </w:r>
            <w:r>
              <w:rPr/>
              <w:t>High resilience, strict professionalism, and an ambitious vision for pupil achievement.</w:t>
            </w:r>
          </w:p>
        </w:tc>
        <w:tc>
          <w:tcPr>
            <w:tcW w:w="3828" w:type="dxa"/>
            <w:tcBorders/>
            <w:shd w:fill="F2F2F2" w:val="clear"/>
          </w:tcPr>
          <w:p>
            <w:pPr>
              <w:pStyle w:val="Normal"/>
              <w:tabs>
                <w:tab w:val="clear" w:pos="720"/>
                <w:tab w:val="left" w:pos="975" w:leader="none"/>
              </w:tabs>
              <w:spacing w:lineRule="auto" w:line="240" w:before="0" w:after="0"/>
              <w:rPr/>
            </w:pPr>
            <w:r>
              <w:rPr/>
              <w:t>•</w:t>
            </w:r>
            <w:r>
              <w:rPr>
                <w:rFonts w:eastAsia="Calibri" w:cs="Calibri"/>
              </w:rPr>
              <w:t xml:space="preserve"> </w:t>
            </w:r>
            <w:r>
              <w:rPr/>
              <w:t>Advanced project management skills.</w:t>
            </w:r>
          </w:p>
          <w:p>
            <w:pPr>
              <w:pStyle w:val="Normal"/>
              <w:tabs>
                <w:tab w:val="clear" w:pos="720"/>
                <w:tab w:val="left" w:pos="975" w:leader="none"/>
              </w:tabs>
              <w:spacing w:lineRule="auto" w:line="240" w:before="0" w:after="0"/>
              <w:rPr/>
            </w:pPr>
            <w:r>
              <w:rPr/>
              <w:t>•</w:t>
            </w:r>
            <w:r>
              <w:rPr>
                <w:rFonts w:eastAsia="Calibri" w:cs="Calibri"/>
              </w:rPr>
              <w:t xml:space="preserve"> </w:t>
            </w:r>
            <w:r>
              <w:rPr/>
              <w:t>Strong capabilities in coaching or mentoring adult learners.</w:t>
            </w:r>
          </w:p>
        </w:tc>
      </w:tr>
    </w:tbl>
    <w:p>
      <w:pPr>
        <w:pStyle w:val="Normal"/>
        <w:rPr/>
      </w:pPr>
      <w:r>
        <w:rPr/>
      </w:r>
    </w:p>
    <w:p>
      <w:pPr>
        <w:pStyle w:val="Normal"/>
        <w:rPr/>
      </w:pPr>
      <w:r>
        <w:rPr/>
      </w:r>
    </w:p>
    <w:p>
      <w:pPr>
        <w:pStyle w:val="Normal"/>
        <w:tabs>
          <w:tab w:val="clear" w:pos="720"/>
          <w:tab w:val="left" w:pos="975" w:leader="none"/>
        </w:tabs>
        <w:rPr/>
      </w:pPr>
      <w:r>
        <w:rPr/>
        <w:drawing>
          <wp:anchor behindDoc="0" distT="0" distB="0" distL="0" distR="0" simplePos="0" locked="0" layoutInCell="1" allowOverlap="1" relativeHeight="23">
            <wp:simplePos x="0" y="0"/>
            <wp:positionH relativeFrom="column">
              <wp:posOffset>34290</wp:posOffset>
            </wp:positionH>
            <wp:positionV relativeFrom="paragraph">
              <wp:posOffset>-325755</wp:posOffset>
            </wp:positionV>
            <wp:extent cx="1059815" cy="466090"/>
            <wp:effectExtent l="0" t="0" r="0" b="0"/>
            <wp:wrapNone/>
            <wp:docPr id="1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 descr=""/>
                    <pic:cNvPicPr>
                      <a:picLocks noChangeAspect="1" noChangeArrowheads="1"/>
                    </pic:cNvPicPr>
                  </pic:nvPicPr>
                  <pic:blipFill>
                    <a:blip r:embed="rId2"/>
                    <a:srcRect l="-34" t="-77" r="-34" b="-77"/>
                    <a:stretch>
                      <a:fillRect/>
                    </a:stretch>
                  </pic:blipFill>
                  <pic:spPr bwMode="auto">
                    <a:xfrm>
                      <a:off x="0" y="0"/>
                      <a:ext cx="1059815" cy="466090"/>
                    </a:xfrm>
                    <a:prstGeom prst="rect">
                      <a:avLst/>
                    </a:prstGeom>
                  </pic:spPr>
                </pic:pic>
              </a:graphicData>
            </a:graphic>
          </wp:anchor>
        </w:drawing>
      </w:r>
    </w:p>
    <w:p>
      <w:pPr>
        <w:pStyle w:val="Normal"/>
        <w:tabs>
          <w:tab w:val="clear" w:pos="720"/>
          <w:tab w:val="left" w:pos="975" w:leader="none"/>
        </w:tabs>
        <w:rPr/>
      </w:pPr>
      <w:r>
        <w:rPr/>
        <w:tab/>
        <w:t>These core competencies are considered essential for all roles within Bolton Council. Please be prepared to be assessed on any of these during the interview process and, for the successful applicant, throughout the probationary period</w:t>
      </w:r>
    </w:p>
    <w:p>
      <w:pPr>
        <w:pStyle w:val="Normal"/>
        <w:tabs>
          <w:tab w:val="clear" w:pos="720"/>
          <w:tab w:val="left" w:pos="975" w:leader="none"/>
        </w:tabs>
        <w:rPr>
          <w:sz w:val="28"/>
          <w:szCs w:val="28"/>
        </w:rPr>
      </w:pPr>
      <w:r>
        <w:rPr>
          <w:sz w:val="28"/>
          <w:szCs w:val="28"/>
        </w:rPr>
        <w:t>Developing Self &amp; Others</w:t>
      </w:r>
    </w:p>
    <w:p>
      <w:pPr>
        <w:pStyle w:val="Normal"/>
        <w:tabs>
          <w:tab w:val="clear" w:pos="720"/>
          <w:tab w:val="left" w:pos="975" w:leader="none"/>
        </w:tabs>
        <w:rPr/>
      </w:pPr>
      <w:r>
        <w:rPr/>
        <w:t xml:space="preserve">Promote a learning environment to embed a learning culture.  Support others to develop their skills and knowledge to fulfil their potential. Actively pursue your own development. Support and promote the principles of Investors in People. </w:t>
      </w:r>
    </w:p>
    <w:p>
      <w:pPr>
        <w:pStyle w:val="Normal"/>
        <w:tabs>
          <w:tab w:val="clear" w:pos="720"/>
          <w:tab w:val="left" w:pos="975" w:leader="none"/>
        </w:tabs>
        <w:rPr>
          <w:sz w:val="28"/>
          <w:szCs w:val="28"/>
        </w:rPr>
      </w:pPr>
      <w:r>
        <w:rPr>
          <w:sz w:val="28"/>
          <w:szCs w:val="28"/>
        </w:rPr>
        <w:t>Civil Contingencies</w:t>
      </w:r>
    </w:p>
    <w:p>
      <w:pPr>
        <w:pStyle w:val="Normal"/>
        <w:tabs>
          <w:tab w:val="clear" w:pos="720"/>
          <w:tab w:val="left" w:pos="975" w:leader="none"/>
        </w:tabs>
        <w:rPr/>
      </w:pPr>
      <w:r>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tabs>
          <w:tab w:val="clear" w:pos="720"/>
          <w:tab w:val="left" w:pos="975" w:leader="none"/>
        </w:tabs>
        <w:rPr>
          <w:sz w:val="28"/>
          <w:szCs w:val="28"/>
        </w:rPr>
      </w:pPr>
      <w:r>
        <w:rPr>
          <w:sz w:val="28"/>
          <w:szCs w:val="28"/>
        </w:rPr>
        <w:t>Equality &amp; Diversity</w:t>
      </w:r>
    </w:p>
    <w:p>
      <w:pPr>
        <w:pStyle w:val="Normal"/>
        <w:tabs>
          <w:tab w:val="clear" w:pos="720"/>
          <w:tab w:val="left" w:pos="975" w:leader="none"/>
        </w:tabs>
        <w:rPr/>
      </w:pPr>
      <w:r>
        <w:rPr/>
        <w:t>Uphold the principles of fairness and the Equality Act in all undertakings as a Bolton Council employee, including providing a fair, accessible service irrespective of customer’s race, religion, gender, sexuality, disability or age.</w:t>
      </w:r>
    </w:p>
    <w:p>
      <w:pPr>
        <w:pStyle w:val="Normal"/>
        <w:tabs>
          <w:tab w:val="clear" w:pos="720"/>
          <w:tab w:val="left" w:pos="975" w:leader="none"/>
        </w:tabs>
        <w:rPr>
          <w:sz w:val="28"/>
          <w:szCs w:val="28"/>
        </w:rPr>
      </w:pPr>
      <w:r>
        <w:rPr>
          <w:sz w:val="28"/>
          <w:szCs w:val="28"/>
        </w:rPr>
        <w:t>Customer Care</w:t>
      </w:r>
    </w:p>
    <w:p>
      <w:pPr>
        <w:pStyle w:val="Normal"/>
        <w:tabs>
          <w:tab w:val="clear" w:pos="720"/>
          <w:tab w:val="left" w:pos="975" w:leader="none"/>
        </w:tabs>
        <w:rPr/>
      </w:pPr>
      <w:r>
        <w:rPr/>
        <w:t>The ability to fully understand, assess and resolve the needs of all customers including those who present with complex situations, in a manner that respects dignity and expresses a caring &amp; professional image.</w:t>
      </w:r>
    </w:p>
    <w:p>
      <w:pPr>
        <w:pStyle w:val="Normal"/>
        <w:tabs>
          <w:tab w:val="clear" w:pos="720"/>
          <w:tab w:val="left" w:pos="975" w:leader="none"/>
        </w:tabs>
        <w:rPr>
          <w:sz w:val="28"/>
          <w:szCs w:val="28"/>
        </w:rPr>
      </w:pPr>
      <w:r>
        <w:rPr>
          <w:sz w:val="28"/>
          <w:szCs w:val="28"/>
        </w:rPr>
        <w:t>Health &amp; Safety</w:t>
      </w:r>
    </w:p>
    <w:p>
      <w:pPr>
        <w:pStyle w:val="Normal"/>
        <w:tabs>
          <w:tab w:val="clear" w:pos="720"/>
          <w:tab w:val="left" w:pos="975" w:leader="none"/>
        </w:tabs>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tabs>
          <w:tab w:val="clear" w:pos="720"/>
          <w:tab w:val="left" w:pos="975" w:leader="none"/>
        </w:tabs>
        <w:rPr>
          <w:sz w:val="28"/>
          <w:szCs w:val="28"/>
        </w:rPr>
      </w:pPr>
      <w:r>
        <w:rPr>
          <w:sz w:val="28"/>
          <w:szCs w:val="28"/>
        </w:rPr>
        <w:t>Data Protection and Confidentiality</w:t>
      </w:r>
    </w:p>
    <w:p>
      <w:pPr>
        <w:pStyle w:val="Normal"/>
        <w:tabs>
          <w:tab w:val="clear" w:pos="720"/>
          <w:tab w:val="left" w:pos="975" w:leader="none"/>
        </w:tabs>
        <w:rPr/>
      </w:pPr>
      <w:r>
        <w:rPr/>
        <w:t>Ensure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tabs>
          <w:tab w:val="clear" w:pos="720"/>
          <w:tab w:val="left" w:pos="975" w:leader="none"/>
        </w:tabs>
        <w:rPr>
          <w:sz w:val="28"/>
          <w:szCs w:val="28"/>
        </w:rPr>
      </w:pPr>
      <w:r>
        <w:rPr>
          <w:sz w:val="28"/>
          <w:szCs w:val="28"/>
        </w:rPr>
        <w:t>Fluency Duty</w:t>
      </w:r>
    </w:p>
    <w:p>
      <w:pPr>
        <w:pStyle w:val="Normal"/>
        <w:tabs>
          <w:tab w:val="clear" w:pos="720"/>
          <w:tab w:val="left" w:pos="975" w:leader="none"/>
        </w:tabs>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sz w:val="28"/>
          <w:szCs w:val="28"/>
        </w:rPr>
      </w:pPr>
      <w:r>
        <w:rPr>
          <w:sz w:val="28"/>
          <w:szCs w:val="28"/>
        </w:rPr>
        <w:t>Working Hours</w:t>
      </w:r>
    </w:p>
    <w:p>
      <w:pPr>
        <w:pStyle w:val="Normal"/>
        <w:tabs>
          <w:tab w:val="clear" w:pos="720"/>
          <w:tab w:val="left" w:pos="975" w:leader="none"/>
        </w:tabs>
        <w:rPr/>
      </w:pPr>
      <w:r>
        <w:rPr/>
        <w:t>The nature and demands of the role are not always predictable and there will be an expectation that work will be required outside of normal hours from time to time.</w:t>
      </w:r>
    </w:p>
    <w:p>
      <w:pPr>
        <w:pStyle w:val="Normal"/>
        <w:tabs>
          <w:tab w:val="clear" w:pos="720"/>
          <w:tab w:val="left" w:pos="975" w:leader="none"/>
        </w:tabs>
        <w:rPr/>
      </w:pPr>
      <w:r>
        <w:rPr/>
      </w:r>
    </w:p>
    <w:p>
      <w:pPr>
        <w:pStyle w:val="Normal"/>
        <w:tabs>
          <w:tab w:val="clear" w:pos="720"/>
          <w:tab w:val="left" w:pos="975" w:leader="none"/>
        </w:tabs>
        <w:rPr>
          <w:sz w:val="28"/>
          <w:szCs w:val="28"/>
        </w:rPr>
      </w:pPr>
      <w:r>
        <w:rPr>
          <w:sz w:val="28"/>
          <w:szCs w:val="28"/>
        </w:rPr>
        <w:t>Safeguarding</w:t>
      </w:r>
    </w:p>
    <w:p>
      <w:pPr>
        <w:pStyle w:val="Normal"/>
        <w:tabs>
          <w:tab w:val="clear" w:pos="720"/>
          <w:tab w:val="left" w:pos="975" w:leader="none"/>
        </w:tabs>
        <w:rPr/>
      </w:pPr>
      <w:r>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rPr/>
      </w:pPr>
      <w:r>
        <w:rPr/>
      </w:r>
    </w:p>
    <w:p>
      <w:pPr>
        <w:pStyle w:val="Normal"/>
        <w:tabs>
          <w:tab w:val="clear" w:pos="720"/>
          <w:tab w:val="left" w:pos="975" w:leader="none"/>
        </w:tabs>
        <w:spacing w:before="0" w:after="160"/>
        <w:rPr/>
      </w:pPr>
      <w:r>
        <w:rPr/>
      </w:r>
    </w:p>
    <w:sectPr>
      <w:headerReference w:type="default" r:id="rId3"/>
      <w:footerReference w:type="default" r:id="rId4"/>
      <w:type w:val="nextPage"/>
      <w:pgSz w:w="11906" w:h="16838"/>
      <w:pgMar w:left="1440" w:right="1440" w:gutter="0" w:header="708" w:top="1440" w:footer="708" w:bottom="851"/>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Segoe UI">
    <w:charset w:val="00"/>
    <w:family w:val="roman"/>
    <w:pitch w:val="variable"/>
  </w:font>
  <w:font w:name="Liberation Sans">
    <w:altName w:val="Arial"/>
    <w:charset w:val="00"/>
    <w:family w:val="swiss"/>
    <w:pitch w:val="variable"/>
  </w:font>
  <w:font w:name="Calibri Light">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9">
          <wp:simplePos x="0" y="0"/>
          <wp:positionH relativeFrom="margin">
            <wp:posOffset>-905510</wp:posOffset>
          </wp:positionH>
          <wp:positionV relativeFrom="paragraph">
            <wp:posOffset>-496570</wp:posOffset>
          </wp:positionV>
          <wp:extent cx="7524750" cy="1099820"/>
          <wp:effectExtent l="0" t="0" r="0" b="0"/>
          <wp:wrapNone/>
          <wp:docPr id="15"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 descr=""/>
                  <pic:cNvPicPr>
                    <a:picLocks noChangeAspect="1" noChangeArrowheads="1"/>
                  </pic:cNvPicPr>
                </pic:nvPicPr>
                <pic:blipFill>
                  <a:blip r:embed="rId1"/>
                  <a:srcRect l="-5" t="-34" r="-5" b="-34"/>
                  <a:stretch>
                    <a:fillRect/>
                  </a:stretch>
                </pic:blipFill>
                <pic:spPr bwMode="auto">
                  <a:xfrm>
                    <a:off x="0" y="0"/>
                    <a:ext cx="7524750" cy="109982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3">
          <wp:simplePos x="0" y="0"/>
          <wp:positionH relativeFrom="margin">
            <wp:posOffset>-7533640</wp:posOffset>
          </wp:positionH>
          <wp:positionV relativeFrom="paragraph">
            <wp:posOffset>-1539875</wp:posOffset>
          </wp:positionV>
          <wp:extent cx="7533640" cy="2754630"/>
          <wp:effectExtent l="0" t="0" r="0" b="0"/>
          <wp:wrapNone/>
          <wp:docPr id="12"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 descr=""/>
                  <pic:cNvPicPr>
                    <a:picLocks noChangeAspect="1" noChangeArrowheads="1"/>
                  </pic:cNvPicPr>
                </pic:nvPicPr>
                <pic:blipFill>
                  <a:blip r:embed="rId1"/>
                  <a:srcRect l="-3" t="-13" r="-3" b="-13"/>
                  <a:stretch>
                    <a:fillRect/>
                  </a:stretch>
                </pic:blipFill>
                <pic:spPr bwMode="auto">
                  <a:xfrm>
                    <a:off x="0" y="0"/>
                    <a:ext cx="7533640" cy="2754630"/>
                  </a:xfrm>
                  <a:prstGeom prst="rect">
                    <a:avLst/>
                  </a:prstGeom>
                </pic:spPr>
              </pic:pic>
            </a:graphicData>
          </a:graphic>
        </wp:anchor>
      </w:drawing>
      <w:drawing>
        <wp:anchor behindDoc="1" distT="0" distB="0" distL="0" distR="0" simplePos="0" locked="0" layoutInCell="0" allowOverlap="1" relativeHeight="17">
          <wp:simplePos x="0" y="0"/>
          <wp:positionH relativeFrom="page">
            <wp:posOffset>6385560</wp:posOffset>
          </wp:positionH>
          <wp:positionV relativeFrom="paragraph">
            <wp:posOffset>-229235</wp:posOffset>
          </wp:positionV>
          <wp:extent cx="723265" cy="723265"/>
          <wp:effectExtent l="0" t="0" r="0" b="0"/>
          <wp:wrapNone/>
          <wp:docPr id="13"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4" descr=""/>
                  <pic:cNvPicPr>
                    <a:picLocks noChangeAspect="1" noChangeArrowheads="1"/>
                  </pic:cNvPicPr>
                </pic:nvPicPr>
                <pic:blipFill>
                  <a:blip r:embed="rId2"/>
                  <a:srcRect l="-6" t="-6" r="-6" b="-6"/>
                  <a:stretch>
                    <a:fillRect/>
                  </a:stretch>
                </pic:blipFill>
                <pic:spPr bwMode="auto">
                  <a:xfrm>
                    <a:off x="0" y="0"/>
                    <a:ext cx="723265" cy="723265"/>
                  </a:xfrm>
                  <a:prstGeom prst="rect">
                    <a:avLst/>
                  </a:prstGeom>
                </pic:spPr>
              </pic:pic>
            </a:graphicData>
          </a:graphic>
        </wp:anchor>
      </w:drawing>
      <w:drawing>
        <wp:inline distT="0" distB="0" distL="0" distR="0">
          <wp:extent cx="725170" cy="719455"/>
          <wp:effectExtent l="0" t="0" r="0" b="0"/>
          <wp:docPr id="14"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 descr=""/>
                  <pic:cNvPicPr>
                    <a:picLocks noChangeAspect="1" noChangeArrowheads="1"/>
                  </pic:cNvPicPr>
                </pic:nvPicPr>
                <pic:blipFill>
                  <a:blip r:embed="rId3"/>
                  <a:srcRect l="-50" t="-50" r="-50" b="-50"/>
                  <a:stretch>
                    <a:fillRect/>
                  </a:stretch>
                </pic:blipFill>
                <pic:spPr bwMode="auto">
                  <a:xfrm>
                    <a:off x="0" y="0"/>
                    <a:ext cx="725170" cy="719455"/>
                  </a:xfrm>
                  <a:prstGeom prst="rect">
                    <a:avLst/>
                  </a:prstGeom>
                </pic:spPr>
              </pic:pic>
            </a:graphicData>
          </a:graphic>
        </wp:inline>
      </w:drawing>
    </w:r>
  </w:p>
</w:hdr>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Segoe UI" w:hAnsi="Segoe UI" w:cs="Segoe UI"/>
      <w:sz w:val="18"/>
      <w:szCs w:val="18"/>
    </w:rPr>
  </w:style>
  <w:style w:type="character" w:styleId="Strong">
    <w:name w:val="Strong"/>
    <w:basedOn w:val="DefaultParagraphFont"/>
    <w:qFormat/>
    <w:rPr>
      <w:b/>
      <w:bCs/>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hanging="0" w:left="720" w:right="0"/>
      <w:contextualSpacing/>
    </w:pPr>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5.png"/>
</Relationships>
</file>

<file path=word/_rels/header1.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image" Target="media/image4.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