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Directorate of Adults, Communities &amp; Integration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Placements &amp; Brokerage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Style w:val="Normaltextrun"/>
                <w:rFonts w:cs="Arial" w:ascii="Arial" w:hAnsi="Arial"/>
              </w:rPr>
              <w:t>To initiate a variety of</w:t>
            </w:r>
            <w:r>
              <w:rPr>
                <w:rStyle w:val="Normaltextrun"/>
              </w:rPr>
              <w:t xml:space="preserve"> </w:t>
            </w:r>
            <w:r>
              <w:rPr>
                <w:rStyle w:val="Normaltextrun"/>
                <w:rFonts w:cs="Arial" w:ascii="Arial" w:hAnsi="Arial"/>
              </w:rPr>
              <w:t>searches across Childrens Services to source placements, based on internally quality assured referrals from social work teams, detailed knowledge of the existing provider pool and due diligence checks relating to new providers.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Senior Placements &amp; Brokerage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respond positively and professionally to referrals from Childrens Services, ensuring the quality of information enables the identification of placements that meets the child’s or young person’s assessed needs, within a cost-effective and knowledgeable matching process.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Spacing"/>
              <w:spacing w:lineRule="auto" w:line="240" w:before="0" w:after="0"/>
              <w:jc w:val="both"/>
              <w:rPr>
                <w:rFonts w:ascii="Arial" w:hAnsi="Arial" w:cs="Arial"/>
              </w:rPr>
            </w:pPr>
            <w:r>
              <w:rPr>
                <w:rFonts w:cs="Arial" w:ascii="Arial" w:hAnsi="Arial"/>
              </w:rPr>
              <w:t>To receive and screen referrals, understanding a child’s needs and the availability of resources to meet these, liaising with other colleagues, partners, and external placement providers to ensure detailed assessment, matching and prioritising.</w:t>
            </w:r>
          </w:p>
          <w:p>
            <w:pPr>
              <w:pStyle w:val="NoSpacing"/>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Spacing"/>
              <w:spacing w:lineRule="auto" w:line="240" w:before="0" w:after="0"/>
              <w:jc w:val="both"/>
              <w:rPr>
                <w:rFonts w:ascii="Arial" w:hAnsi="Arial" w:cs="Arial"/>
              </w:rPr>
            </w:pPr>
            <w:r>
              <w:rPr>
                <w:rFonts w:cs="Arial" w:ascii="Arial" w:hAnsi="Arial"/>
              </w:rPr>
              <w:t>To ensure that care placements comply with the required national standards and appropriate regulatory bodies, and relevant placement-related documentation is completed following agreement, in a timely manner and in line with contract procurement rules.</w:t>
            </w:r>
          </w:p>
          <w:p>
            <w:pPr>
              <w:pStyle w:val="NoSpacing"/>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manage, develop and maintain effective information systems, relating to children’s placements, inputting all placement data onto the web-based case management system, Liquid Logic, and other internal databases, to ensure that accurate placement information is always available.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p>
            <w:pPr>
              <w:pStyle w:val="Normal"/>
              <w:spacing w:lineRule="auto" w:line="240" w:before="0" w:after="0"/>
              <w:rPr>
                <w:rFonts w:ascii="Arial" w:hAnsi="Arial" w:cs="Arial"/>
                <w:b/>
                <w:b/>
              </w:rPr>
            </w:pPr>
            <w:r>
              <w:rPr>
                <w:rFonts w:cs="Arial" w:ascii="Arial" w:hAnsi="Arial"/>
                <w:b/>
              </w:rPr>
              <w:b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records of all placement search activity on Liquid Logic and other internal databases and regularly report update information to your line manager.</w:t>
            </w:r>
          </w:p>
          <w:p>
            <w:pPr>
              <w:pStyle w:val="Normal"/>
              <w:spacing w:lineRule="auto" w:line="240" w:before="0" w:after="0"/>
              <w:rPr>
                <w:rFonts w:ascii="Arial" w:hAnsi="Arial" w:cs="Arial"/>
              </w:rPr>
            </w:pPr>
            <w:r>
              <w:rPr>
                <w:rFonts w:cs="Arial" w:ascii="Arial" w:hAnsi="Arial"/>
              </w:rPr>
              <w:t>To negotiate proactively with care providers to broker needs</w:t>
              <w:noBreakHyphen/>
              <w:t>led, outcomes</w:t>
              <w:noBreakHyphen/>
              <w:t>focused care packages that deliver value for money, using internal systems and market knowledge to benchmark costs, evidence decision</w:t>
              <w:noBreakHyphen/>
              <w:t>making, and ensure fair and transparent pricing.</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Ensuring that the relevant placement-related documentation is completed following placement agreement, in a timely manner.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Ensuring that all risk related information around providers is shared with the relevant bodies, to allow for the correct formulation of Information Sharing Protocols (IPA), and the minimisation of harm to children and young people and other placement stabilities.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attend and contribute to single and multi-agency meetings relating to children’s placements where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creation and maintenance of good working relationships at all levels with internal and external partner agencies, external placement providers and with the public.</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Implement procedures to contribute to the effective delivery of the Placements Service, ensuring systems are in place to manage service performance and identify and report risks to management in a timely manner.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Spacing"/>
              <w:spacing w:lineRule="auto" w:line="240" w:before="0" w:after="0"/>
              <w:jc w:val="both"/>
              <w:rPr>
                <w:rFonts w:ascii="Arial" w:hAnsi="Arial" w:cs="Arial"/>
              </w:rPr>
            </w:pPr>
            <w:r>
              <w:rPr>
                <w:rFonts w:cs="Arial" w:ascii="Arial" w:hAnsi="Arial"/>
              </w:rPr>
              <w:t>To review and respond to provider queries in relation to invoices.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positively and proactively contribute to problem solving using a teamwork approach where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Provide support and training to colleagues informing teams and other agencies about the Placements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have due regard to health and safety in relation to self and children in care, whilst identifying potential placements.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Participate in Bolton Council systems to support personal development including one to one supervision sessions, personal development reviews, and training.</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February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Head of Service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placement &amp; brokerage officer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the statutory processes affecting Children in Care.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the Local Authority’s statutory responsibilities relating to vulnerable children and young people in Care.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the differing placement types and the national performance indicators relating to the outcomes for Children in Care.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to work with the required national standards and Ofsted requirements for Children in Care placements.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ability to respond positively and professionally to referrals either verbally, over the phone, electronically and in writing to internal colleagues and external placement providers.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apply due diligence processes and liaise with quality assurance systems to monitor performance against agreed standards.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prioritise own workload and ability to work to a tight deadline.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positively and proactively as part of a team.</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an ability to use, develop, and manage a range of ICT systems, including databases, spreadsheets, and desktop publishing.</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ensure accuracy of and report from ICT systems and spreadsheets.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auto" w:val="clear"/>
          </w:tcPr>
          <w:p>
            <w:pPr>
              <w:pStyle w:val="Normal"/>
              <w:spacing w:lineRule="auto" w:line="240" w:before="120" w:after="120"/>
              <w:ind w:left="0" w:right="175" w:hanging="0"/>
              <w:rPr/>
            </w:pPr>
            <w:r>
              <w:rPr>
                <w:rFonts w:eastAsia="Arial" w:cs="Arial" w:ascii="Arial" w:hAnsi="Arial"/>
              </w:rPr>
              <w:t xml:space="preserve"> </w:t>
            </w:r>
            <w:r>
              <w:rPr>
                <w:rFonts w:cs="Arial" w:ascii="Arial" w:hAnsi="Arial"/>
              </w:rPr>
              <w:t>Ability to accurately check invoices sent from providers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 relevant professional or academic qualification to NVQ4 or Willingness to work towards qualification if have the equivalent proven levels of experience relevant to the requirements of the post or similar roles.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developing positive working relationships with internal and external placements providers and other professional colleagues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in proactively and creatively resolving challenges and to respond positively in crisis situations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checking invoices and following procedure to challenge when they are incorrect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sometimes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February 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Service</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683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 t="-9" r="-3" b="-9"/>
                    <a:stretch>
                      <a:fillRect/>
                    </a:stretch>
                  </pic:blipFill>
                  <pic:spPr bwMode="auto">
                    <a:xfrm>
                      <a:off x="0" y="0"/>
                      <a:ext cx="4911090" cy="1306830"/>
                    </a:xfrm>
                    <a:prstGeom prst="rect">
                      <a:avLst/>
                    </a:prstGeom>
                  </pic:spPr>
                </pic:pic>
              </a:graphicData>
            </a:graphic>
          </wp:inline>
        </w:drawing>
      </w:r>
    </w:p>
    <w:p>
      <w:pPr>
        <w:pStyle w:val="Normal"/>
        <w:rPr/>
      </w:pPr>
      <w:r>
        <w:rPr/>
        <w:drawing>
          <wp:inline distT="0" distB="0" distL="0" distR="0">
            <wp:extent cx="4863465" cy="134112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3" t="-9" r="-3" b="-9"/>
                    <a:stretch>
                      <a:fillRect/>
                    </a:stretch>
                  </pic:blipFill>
                  <pic:spPr bwMode="auto">
                    <a:xfrm>
                      <a:off x="0" y="0"/>
                      <a:ext cx="4863465" cy="1341120"/>
                    </a:xfrm>
                    <a:prstGeom prst="rect">
                      <a:avLst/>
                    </a:prstGeom>
                  </pic:spPr>
                </pic:pic>
              </a:graphicData>
            </a:graphic>
          </wp:inline>
        </w:drawing>
      </w:r>
      <w:r>
        <w:rPr/>
        <w:drawing>
          <wp:inline distT="0" distB="0" distL="0" distR="0">
            <wp:extent cx="482473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3" t="-10" r="-3" b="-10"/>
                    <a:stretch>
                      <a:fillRect/>
                    </a:stretch>
                  </pic:blipFill>
                  <pic:spPr bwMode="auto">
                    <a:xfrm>
                      <a:off x="0" y="0"/>
                      <a:ext cx="482473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3" t="-10" r="-3" b="-10"/>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0785" cy="123126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4" t="-12" r="-4" b="-12"/>
                    <a:stretch>
                      <a:fillRect/>
                    </a:stretch>
                  </pic:blipFill>
                  <pic:spPr bwMode="auto">
                    <a:xfrm>
                      <a:off x="0" y="0"/>
                      <a:ext cx="5010785" cy="123126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February 2026</w:t>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Normaltextrun">
    <w:name w:val="normaltextrun"/>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2026-02-26T13:23:00Z</dcterms:created>
  <dc:creator>Johnson, Andrew</dc:creator>
  <dc:description/>
  <dc:language>en-US</dc:language>
  <cp:lastModifiedBy>Smythe, Stuart</cp:lastModifiedBy>
  <cp:lastPrinted>1995-11-21T17:41:00Z</cp:lastPrinted>
  <dcterms:modified xsi:type="dcterms:W3CDTF">2026-04-16T14:25:00Z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