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media/image2.jpeg" ContentType="image/jpeg"/>
  <Override PartName="/word/media/image8.png" ContentType="image/png"/>
  <Override PartName="/word/media/image3.jpeg" ContentType="image/jpeg"/>
  <Override PartName="/word/media/image5.png" ContentType="image/png"/>
  <Override PartName="/word/media/image4.png" ContentType="image/png"/>
  <Override PartName="/word/media/image6.png" ContentType="image/png"/>
  <Override PartName="/word/media/image7.png" ContentType="image/png"/>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rPr/>
      </w:pPr>
      <w:r>
        <w:rPr/>
        <w:drawing>
          <wp:anchor behindDoc="0" distT="0" distB="0" distL="0" distR="0" simplePos="0" locked="0" layoutInCell="1" allowOverlap="1" relativeHeight="8">
            <wp:simplePos x="0" y="0"/>
            <wp:positionH relativeFrom="column">
              <wp:posOffset>4394835</wp:posOffset>
            </wp:positionH>
            <wp:positionV relativeFrom="paragraph">
              <wp:posOffset>-513080</wp:posOffset>
            </wp:positionV>
            <wp:extent cx="1904365" cy="837565"/>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9" t="-43" r="-19" b="-43"/>
                    <a:stretch>
                      <a:fillRect/>
                    </a:stretch>
                  </pic:blipFill>
                  <pic:spPr bwMode="auto">
                    <a:xfrm>
                      <a:off x="0" y="0"/>
                      <a:ext cx="1904365" cy="837565"/>
                    </a:xfrm>
                    <a:prstGeom prst="rect">
                      <a:avLst/>
                    </a:prstGeom>
                  </pic:spPr>
                </pic:pic>
              </a:graphicData>
            </a:graphic>
          </wp:anchor>
        </w:drawing>
        <mc:AlternateContent>
          <mc:Choice Requires="wps">
            <w:drawing>
              <wp:anchor behindDoc="0" distT="0" distB="0" distL="114935" distR="114300" simplePos="0" locked="0" layoutInCell="1" allowOverlap="1" relativeHeight="9">
                <wp:simplePos x="0" y="0"/>
                <wp:positionH relativeFrom="column">
                  <wp:posOffset>-302895</wp:posOffset>
                </wp:positionH>
                <wp:positionV relativeFrom="paragraph">
                  <wp:posOffset>21590</wp:posOffset>
                </wp:positionV>
                <wp:extent cx="2827655" cy="648335"/>
                <wp:effectExtent l="635" t="635" r="0" b="0"/>
                <wp:wrapNone/>
                <wp:docPr id="2" name="Text Box 2"/>
                <a:graphic xmlns:a="http://schemas.openxmlformats.org/drawingml/2006/main">
                  <a:graphicData uri="http://schemas.microsoft.com/office/word/2010/wordprocessingShape">
                    <wps:wsp>
                      <wps:cNvSpPr/>
                      <wps:spPr>
                        <a:xfrm>
                          <a:off x="0" y="0"/>
                          <a:ext cx="2827800" cy="648360"/>
                        </a:xfrm>
                        <a:prstGeom prst="rect">
                          <a:avLst/>
                        </a:prstGeom>
                        <a:solidFill>
                          <a:srgbClr val="ffffff"/>
                        </a:solidFill>
                        <a:ln w="0">
                          <a:noFill/>
                        </a:ln>
                      </wps:spPr>
                      <wps:style>
                        <a:lnRef idx="0"/>
                        <a:fillRef idx="0"/>
                        <a:effectRef idx="0"/>
                        <a:fontRef idx="minor"/>
                      </wps:style>
                      <wps:bodyPr/>
                    </wps:wsp>
                  </a:graphicData>
                </a:graphic>
              </wp:anchor>
            </w:drawing>
          </mc:Choice>
          <mc:Fallback>
            <w:pict>
              <v:rect id="shape_0" ID="Text Box 2" path="m0,0l-2147483645,0l-2147483645,-2147483646l0,-2147483646xe" fillcolor="white" stroked="f" o:allowincell="f" style="position:absolute;margin-left:-23.85pt;margin-top:1.7pt;width:222.6pt;height:51pt;mso-wrap-style:none;v-text-anchor:middle">
                <v:fill o:detectmouseclick="t" type="solid" color2="black"/>
                <v:stroke color="#3465a4" joinstyle="round" endcap="flat"/>
                <w10:wrap type="none"/>
              </v:rect>
            </w:pict>
          </mc:Fallback>
        </mc:AlternateContent>
      </w:r>
      <w:r>
        <mc:AlternateContent>
          <mc:Choice Requires="wps">
            <w:drawing>
              <wp:anchor behindDoc="0" distT="72390" distB="72390" distL="0" distR="0" simplePos="0" locked="0" layoutInCell="1" allowOverlap="1" relativeHeight="10">
                <wp:simplePos x="0" y="0"/>
                <wp:positionH relativeFrom="column">
                  <wp:posOffset>-302895</wp:posOffset>
                </wp:positionH>
                <wp:positionV relativeFrom="paragraph">
                  <wp:posOffset>21590</wp:posOffset>
                </wp:positionV>
                <wp:extent cx="2827655" cy="648335"/>
                <wp:effectExtent l="0" t="0" r="0" b="0"/>
                <wp:wrapNone/>
                <wp:docPr id="3" name="Frame1"/>
                <a:graphic xmlns:a="http://schemas.openxmlformats.org/drawingml/2006/main">
                  <a:graphicData uri="http://schemas.microsoft.com/office/word/2010/wordprocessingShape">
                    <wps:wsp>
                      <wps:cNvSpPr txBox="1"/>
                      <wps:spPr>
                        <a:xfrm>
                          <a:off x="0" y="0"/>
                          <a:ext cx="2827655" cy="648335"/>
                        </a:xfrm>
                        <a:prstGeom prst="rect"/>
                        <a:solidFill>
                          <a:srgbClr val="FFFFFF"/>
                        </a:solidFill>
                      </wps:spPr>
                      <wps:txbx>
                        <w:txbxContent>
                          <w:p>
                            <w:pPr>
                              <w:pStyle w:val="FrameContents"/>
                              <w:spacing w:before="0" w:after="200"/>
                              <w:rPr/>
                            </w:pPr>
                            <w:r>
                              <w:rPr/>
                              <w:drawing>
                                <wp:inline distT="0" distB="0" distL="0" distR="0">
                                  <wp:extent cx="2665730" cy="509270"/>
                                  <wp:effectExtent l="0" t="0" r="0" b="0"/>
                                  <wp:docPr id="4"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 descr=""/>
                                          <pic:cNvPicPr>
                                            <a:picLocks noChangeAspect="1" noChangeArrowheads="1"/>
                                          </pic:cNvPicPr>
                                        </pic:nvPicPr>
                                        <pic:blipFill>
                                          <a:blip r:embed="rId3"/>
                                          <a:srcRect l="-15" t="-80" r="-15" b="-80"/>
                                          <a:stretch>
                                            <a:fillRect/>
                                          </a:stretch>
                                        </pic:blipFill>
                                        <pic:spPr bwMode="auto">
                                          <a:xfrm>
                                            <a:off x="0" y="0"/>
                                            <a:ext cx="2665730" cy="509270"/>
                                          </a:xfrm>
                                          <a:prstGeom prst="rect">
                                            <a:avLst/>
                                          </a:prstGeom>
                                        </pic:spPr>
                                      </pic:pic>
                                    </a:graphicData>
                                  </a:graphic>
                                </wp:inline>
                              </w:drawing>
                            </w:r>
                          </w:p>
                        </w:txbxContent>
                      </wps:txbx>
                      <wps:bodyPr anchor="t" lIns="92075" tIns="46355" rIns="92075" bIns="46355">
                        <a:noAutofit/>
                      </wps:bodyPr>
                    </wps:wsp>
                  </a:graphicData>
                </a:graphic>
              </wp:anchor>
            </w:drawing>
          </mc:Choice>
          <mc:Fallback>
            <w:pict>
              <v:rect fillcolor="#FFFFFF" style="position:absolute;rotation:-0;width:222.65pt;height:51.05pt;mso-wrap-distance-left:0pt;mso-wrap-distance-right:0pt;mso-wrap-distance-top:5.7pt;mso-wrap-distance-bottom:5.7pt;margin-top:1.7pt;mso-position-vertical-relative:text;margin-left:-23.85pt;mso-position-horizontal-relative:text">
                <v:textbox inset="0.100694444444444in,0.0506944444444444in,0.100694444444444in,0.0506944444444444in">
                  <w:txbxContent>
                    <w:p>
                      <w:pPr>
                        <w:pStyle w:val="FrameContents"/>
                        <w:spacing w:before="0" w:after="200"/>
                        <w:rPr/>
                      </w:pPr>
                      <w:r>
                        <w:rPr/>
                        <w:drawing>
                          <wp:inline distT="0" distB="0" distL="0" distR="0">
                            <wp:extent cx="2665730" cy="509270"/>
                            <wp:effectExtent l="0" t="0" r="0" b="0"/>
                            <wp:docPr id="5"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2" descr=""/>
                                    <pic:cNvPicPr>
                                      <a:picLocks noChangeAspect="1" noChangeArrowheads="1"/>
                                    </pic:cNvPicPr>
                                  </pic:nvPicPr>
                                  <pic:blipFill>
                                    <a:blip r:embed="rId4"/>
                                    <a:srcRect l="-15" t="-80" r="-15" b="-80"/>
                                    <a:stretch>
                                      <a:fillRect/>
                                    </a:stretch>
                                  </pic:blipFill>
                                  <pic:spPr bwMode="auto">
                                    <a:xfrm>
                                      <a:off x="0" y="0"/>
                                      <a:ext cx="2665730" cy="509270"/>
                                    </a:xfrm>
                                    <a:prstGeom prst="rect">
                                      <a:avLst/>
                                    </a:prstGeom>
                                  </pic:spPr>
                                </pic:pic>
                              </a:graphicData>
                            </a:graphic>
                          </wp:inline>
                        </w:drawing>
                      </w:r>
                    </w:p>
                  </w:txbxContent>
                </v:textbox>
                <w10:wrap type="none"/>
              </v:rect>
            </w:pict>
          </mc:Fallback>
        </mc:AlternateContent>
      </w:r>
    </w:p>
    <w:p>
      <w:pPr>
        <w:pStyle w:val="Normal"/>
        <w:rPr>
          <w:rFonts w:eastAsia="Calibri" w:cs="Calibri"/>
        </w:rPr>
      </w:pPr>
      <w:r>
        <w:rPr>
          <w:rFonts w:eastAsia="Calibri" w:cs="Calibri"/>
        </w:rPr>
        <w:t xml:space="preserve"> </w:t>
      </w:r>
    </w:p>
    <w:p>
      <w:pPr>
        <w:pStyle w:val="Normal"/>
        <w:rPr/>
      </w:pPr>
      <w:r>
        <w:rPr/>
      </w:r>
    </w:p>
    <w:tbl>
      <w:tblPr>
        <w:tblW w:w="9627" w:type="dxa"/>
        <w:jc w:val="left"/>
        <w:tblInd w:w="108" w:type="dxa"/>
        <w:tblLayout w:type="fixed"/>
        <w:tblCellMar>
          <w:top w:w="0" w:type="dxa"/>
          <w:left w:w="108" w:type="dxa"/>
          <w:bottom w:w="0" w:type="dxa"/>
          <w:right w:w="108" w:type="dxa"/>
        </w:tblCellMar>
      </w:tblPr>
      <w:tblGrid>
        <w:gridCol w:w="2638"/>
        <w:gridCol w:w="6989"/>
      </w:tblGrid>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Department</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ADULT Services, Communities and Integration</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Job Title</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bCs/>
              </w:rPr>
            </w:pPr>
            <w:r>
              <w:rPr>
                <w:rFonts w:cs="Arial" w:ascii="Arial" w:hAnsi="Arial"/>
                <w:b/>
                <w:bCs/>
              </w:rPr>
              <w:t xml:space="preserve">Contract and Quality Monitoring Officer </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Grade</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rPr>
            </w:pPr>
            <w:r>
              <w:rPr>
                <w:rFonts w:cs="Arial" w:ascii="Arial" w:hAnsi="Arial"/>
              </w:rPr>
              <w:t>Grade G</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Primary Purpose of Job</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pPr>
            <w:bookmarkStart w:id="0" w:name="_Hlk111013756"/>
            <w:r>
              <w:rPr>
                <w:rFonts w:cs="Arial" w:ascii="Arial" w:hAnsi="Arial"/>
                <w:bCs/>
                <w:lang w:eastAsia="en-GB"/>
              </w:rPr>
              <w:t xml:space="preserve">To monitor the quality of services commissioned by the </w:t>
            </w:r>
            <w:bookmarkStart w:id="1" w:name="_Hlk111013502"/>
            <w:r>
              <w:rPr>
                <w:rFonts w:cs="Arial" w:ascii="Arial" w:hAnsi="Arial"/>
                <w:bCs/>
                <w:lang w:eastAsia="en-GB"/>
              </w:rPr>
              <w:t>and Adults Communities and Integration Department</w:t>
            </w:r>
            <w:bookmarkEnd w:id="1"/>
            <w:r>
              <w:rPr>
                <w:rFonts w:cs="Arial" w:ascii="Arial" w:hAnsi="Arial"/>
                <w:bCs/>
                <w:lang w:eastAsia="en-GB"/>
              </w:rPr>
              <w:t>; and, to work with providers to improve the quality of services so that service users</w:t>
            </w:r>
            <w:r>
              <w:rPr>
                <w:rFonts w:cs="Arial" w:ascii="Arial" w:hAnsi="Arial"/>
                <w:lang w:eastAsia="en-GB"/>
              </w:rPr>
              <w:t xml:space="preserve"> have a better experience and quality of life</w:t>
            </w:r>
            <w:bookmarkEnd w:id="0"/>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Reporting To</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rPr>
            </w:pPr>
            <w:r>
              <w:rPr>
                <w:rFonts w:cs="Arial" w:ascii="Arial" w:hAnsi="Arial"/>
              </w:rPr>
              <w:t>Principal Quality Assurance and Improvement Officer</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Direct Staffing Reports</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rPr>
            </w:pPr>
            <w:r>
              <w:rPr>
                <w:rFonts w:cs="Arial" w:ascii="Arial" w:hAnsi="Arial"/>
              </w:rPr>
              <w:t>N/a</w:t>
            </w:r>
          </w:p>
        </w:tc>
      </w:tr>
    </w:tbl>
    <w:p>
      <w:pPr>
        <w:pStyle w:val="Normal"/>
        <w:spacing w:lineRule="auto" w:line="240" w:before="0" w:after="120"/>
        <w:rPr>
          <w:rFonts w:ascii="Arial" w:hAnsi="Arial" w:cs="Arial"/>
          <w:sz w:val="16"/>
          <w:szCs w:val="16"/>
        </w:rPr>
      </w:pPr>
      <w:r>
        <w:rPr>
          <w:rFonts w:cs="Arial" w:ascii="Arial" w:hAnsi="Arial"/>
          <w:sz w:val="16"/>
          <w:szCs w:val="16"/>
        </w:rPr>
      </w:r>
    </w:p>
    <w:p>
      <w:pPr>
        <w:pStyle w:val="Normal"/>
        <w:spacing w:lineRule="auto" w:line="240" w:before="0" w:after="120"/>
        <w:rPr>
          <w:rFonts w:ascii="Arial" w:hAnsi="Arial" w:cs="Arial"/>
          <w:b/>
        </w:rPr>
      </w:pPr>
      <w:r>
        <w:rPr>
          <w:rFonts w:cs="Arial" w:ascii="Arial" w:hAnsi="Arial"/>
          <w:b/>
        </w:rPr>
        <w:t>Main Duties</w:t>
      </w:r>
    </w:p>
    <w:tbl>
      <w:tblPr>
        <w:tblW w:w="9637" w:type="dxa"/>
        <w:jc w:val="left"/>
        <w:tblInd w:w="108" w:type="dxa"/>
        <w:tblLayout w:type="fixed"/>
        <w:tblCellMar>
          <w:top w:w="0" w:type="dxa"/>
          <w:left w:w="108" w:type="dxa"/>
          <w:bottom w:w="0" w:type="dxa"/>
          <w:right w:w="108" w:type="dxa"/>
        </w:tblCellMar>
      </w:tblPr>
      <w:tblGrid>
        <w:gridCol w:w="460"/>
        <w:gridCol w:w="4112"/>
        <w:gridCol w:w="5065"/>
      </w:tblGrid>
      <w:tr>
        <w:trPr>
          <w:trHeight w:val="506" w:hRule="atLeast"/>
        </w:trPr>
        <w:tc>
          <w:tcPr>
            <w:tcW w:w="460" w:type="dxa"/>
            <w:tcBorders/>
          </w:tcPr>
          <w:p>
            <w:pPr>
              <w:pStyle w:val="Normal"/>
              <w:spacing w:lineRule="auto" w:line="240" w:before="0" w:after="0"/>
              <w:rPr>
                <w:rFonts w:ascii="Arial" w:hAnsi="Arial" w:cs="Arial"/>
                <w:b/>
              </w:rPr>
            </w:pPr>
            <w:r>
              <w:rPr>
                <w:rFonts w:cs="Arial" w:ascii="Arial" w:hAnsi="Arial"/>
                <w:b/>
              </w:rPr>
              <w:t>1</w:t>
            </w:r>
          </w:p>
        </w:tc>
        <w:tc>
          <w:tcPr>
            <w:tcW w:w="9177" w:type="dxa"/>
            <w:gridSpan w:val="2"/>
            <w:tcBorders/>
          </w:tcPr>
          <w:p>
            <w:pPr>
              <w:pStyle w:val="Normal"/>
              <w:spacing w:lineRule="auto" w:line="240" w:before="0" w:after="0"/>
              <w:rPr>
                <w:rFonts w:ascii="Arial" w:hAnsi="Arial" w:cs="Arial"/>
                <w:color w:val="000000"/>
                <w:lang w:eastAsia="en-GB"/>
              </w:rPr>
            </w:pPr>
            <w:r>
              <w:rPr>
                <w:rFonts w:cs="Arial" w:ascii="Arial" w:hAnsi="Arial"/>
                <w:color w:val="000000"/>
                <w:lang w:eastAsia="en-GB"/>
              </w:rPr>
              <w:t xml:space="preserve">To closely monitor contracts by working with providers, social workers and key health services to ensure service users receive the best quality of care. </w:t>
            </w:r>
          </w:p>
        </w:tc>
      </w:tr>
      <w:tr>
        <w:trPr>
          <w:trHeight w:val="506" w:hRule="atLeast"/>
        </w:trPr>
        <w:tc>
          <w:tcPr>
            <w:tcW w:w="460" w:type="dxa"/>
            <w:tcBorders/>
          </w:tcPr>
          <w:p>
            <w:pPr>
              <w:pStyle w:val="Normal"/>
              <w:spacing w:lineRule="auto" w:line="240" w:before="0" w:after="0"/>
              <w:rPr>
                <w:rFonts w:ascii="Arial" w:hAnsi="Arial" w:cs="Arial"/>
                <w:b/>
              </w:rPr>
            </w:pPr>
            <w:r>
              <w:rPr>
                <w:rFonts w:cs="Arial" w:ascii="Arial" w:hAnsi="Arial"/>
                <w:b/>
              </w:rPr>
              <w:t>2</w:t>
            </w:r>
          </w:p>
        </w:tc>
        <w:tc>
          <w:tcPr>
            <w:tcW w:w="9177" w:type="dxa"/>
            <w:gridSpan w:val="2"/>
            <w:tcBorders/>
          </w:tcPr>
          <w:p>
            <w:pPr>
              <w:pStyle w:val="Normal"/>
              <w:spacing w:lineRule="auto" w:line="240" w:before="0" w:after="0"/>
              <w:rPr>
                <w:rFonts w:ascii="Arial" w:hAnsi="Arial" w:cs="Arial"/>
                <w:color w:val="000000"/>
                <w:lang w:eastAsia="en-GB"/>
              </w:rPr>
            </w:pPr>
            <w:r>
              <w:rPr>
                <w:rFonts w:cs="Arial" w:ascii="Arial" w:hAnsi="Arial"/>
                <w:color w:val="000000"/>
                <w:lang w:eastAsia="en-GB"/>
              </w:rPr>
              <w:t>To maintain effective working relationships with service providers, identify and manage risks and ensure continuous service improvement</w:t>
            </w:r>
          </w:p>
        </w:tc>
      </w:tr>
      <w:tr>
        <w:trPr>
          <w:trHeight w:val="506" w:hRule="atLeast"/>
        </w:trPr>
        <w:tc>
          <w:tcPr>
            <w:tcW w:w="460" w:type="dxa"/>
            <w:tcBorders/>
          </w:tcPr>
          <w:p>
            <w:pPr>
              <w:pStyle w:val="Normal"/>
              <w:spacing w:lineRule="auto" w:line="240" w:before="0" w:after="0"/>
              <w:rPr>
                <w:rFonts w:ascii="Arial" w:hAnsi="Arial" w:cs="Arial"/>
                <w:b/>
              </w:rPr>
            </w:pPr>
            <w:r>
              <w:rPr>
                <w:rFonts w:cs="Arial" w:ascii="Arial" w:hAnsi="Arial"/>
                <w:b/>
              </w:rPr>
              <w:t>3</w:t>
            </w:r>
          </w:p>
        </w:tc>
        <w:tc>
          <w:tcPr>
            <w:tcW w:w="9177" w:type="dxa"/>
            <w:gridSpan w:val="2"/>
            <w:tcBorders/>
          </w:tcPr>
          <w:p>
            <w:pPr>
              <w:pStyle w:val="Normal"/>
              <w:spacing w:lineRule="auto" w:line="240" w:before="0" w:after="0"/>
              <w:rPr>
                <w:rFonts w:ascii="Arial" w:hAnsi="Arial" w:cs="Arial"/>
                <w:color w:val="000000"/>
                <w:lang w:eastAsia="en-GB"/>
              </w:rPr>
            </w:pPr>
            <w:r>
              <w:rPr>
                <w:rFonts w:cs="Arial" w:ascii="Arial" w:hAnsi="Arial"/>
                <w:color w:val="000000"/>
                <w:lang w:eastAsia="en-GB"/>
              </w:rPr>
              <w:t xml:space="preserve">To undertake quality assurance assessments including desktop analysis of service data, quality assurance visits, getting views of key stakeholders (such as service users, staff, other professionals and regulators) and producing validation reports. </w:t>
            </w:r>
          </w:p>
        </w:tc>
      </w:tr>
      <w:tr>
        <w:trPr>
          <w:trHeight w:val="506" w:hRule="atLeast"/>
        </w:trPr>
        <w:tc>
          <w:tcPr>
            <w:tcW w:w="460" w:type="dxa"/>
            <w:tcBorders/>
          </w:tcPr>
          <w:p>
            <w:pPr>
              <w:pStyle w:val="Normal"/>
              <w:spacing w:lineRule="auto" w:line="240" w:before="0" w:after="0"/>
              <w:rPr>
                <w:rFonts w:ascii="Arial" w:hAnsi="Arial" w:cs="Arial"/>
                <w:b/>
              </w:rPr>
            </w:pPr>
            <w:r>
              <w:rPr>
                <w:rFonts w:cs="Arial" w:ascii="Arial" w:hAnsi="Arial"/>
                <w:b/>
              </w:rPr>
              <w:t>4</w:t>
            </w:r>
          </w:p>
        </w:tc>
        <w:tc>
          <w:tcPr>
            <w:tcW w:w="9177" w:type="dxa"/>
            <w:gridSpan w:val="2"/>
            <w:tcBorders/>
          </w:tcPr>
          <w:p>
            <w:pPr>
              <w:pStyle w:val="Normal"/>
              <w:spacing w:lineRule="auto" w:line="240" w:before="0" w:after="0"/>
              <w:rPr>
                <w:rFonts w:ascii="Arial" w:hAnsi="Arial" w:cs="Arial"/>
                <w:color w:val="000000"/>
                <w:lang w:eastAsia="en-GB"/>
              </w:rPr>
            </w:pPr>
            <w:r>
              <w:rPr>
                <w:rFonts w:cs="Arial" w:ascii="Arial" w:hAnsi="Arial"/>
                <w:color w:val="000000"/>
                <w:lang w:eastAsia="en-GB"/>
              </w:rPr>
              <w:t xml:space="preserve">To work proactively to identify and resolve contract and service issues with providers, this will include staffing a regular duty function. </w:t>
            </w:r>
          </w:p>
        </w:tc>
      </w:tr>
      <w:tr>
        <w:trPr>
          <w:trHeight w:val="506" w:hRule="atLeast"/>
        </w:trPr>
        <w:tc>
          <w:tcPr>
            <w:tcW w:w="460" w:type="dxa"/>
            <w:tcBorders/>
          </w:tcPr>
          <w:p>
            <w:pPr>
              <w:pStyle w:val="Normal"/>
              <w:spacing w:lineRule="auto" w:line="240" w:before="0" w:after="0"/>
              <w:rPr>
                <w:rFonts w:ascii="Arial" w:hAnsi="Arial" w:cs="Arial"/>
                <w:b/>
              </w:rPr>
            </w:pPr>
            <w:r>
              <w:rPr>
                <w:rFonts w:cs="Arial" w:ascii="Arial" w:hAnsi="Arial"/>
                <w:b/>
              </w:rPr>
              <w:t>5</w:t>
            </w:r>
          </w:p>
        </w:tc>
        <w:tc>
          <w:tcPr>
            <w:tcW w:w="9177" w:type="dxa"/>
            <w:gridSpan w:val="2"/>
            <w:tcBorders/>
          </w:tcPr>
          <w:p>
            <w:pPr>
              <w:pStyle w:val="Normal"/>
              <w:spacing w:lineRule="auto" w:line="240" w:before="0" w:after="0"/>
              <w:rPr>
                <w:rFonts w:ascii="Arial" w:hAnsi="Arial" w:cs="Arial"/>
                <w:lang w:eastAsia="en-GB"/>
              </w:rPr>
            </w:pPr>
            <w:r>
              <w:rPr>
                <w:rFonts w:cs="Arial" w:ascii="Arial" w:hAnsi="Arial"/>
                <w:lang w:eastAsia="en-GB"/>
              </w:rPr>
              <w:t>To ensure that service users, carers, local people and provider engagement activity informs the routine monitoring of contracts and quality.</w:t>
            </w:r>
          </w:p>
        </w:tc>
      </w:tr>
      <w:tr>
        <w:trPr>
          <w:trHeight w:val="506" w:hRule="atLeast"/>
        </w:trPr>
        <w:tc>
          <w:tcPr>
            <w:tcW w:w="460" w:type="dxa"/>
            <w:tcBorders/>
          </w:tcPr>
          <w:p>
            <w:pPr>
              <w:pStyle w:val="Normal"/>
              <w:spacing w:lineRule="auto" w:line="240" w:before="0" w:after="0"/>
              <w:rPr>
                <w:rFonts w:ascii="Arial" w:hAnsi="Arial" w:cs="Arial"/>
                <w:b/>
              </w:rPr>
            </w:pPr>
            <w:r>
              <w:rPr>
                <w:rFonts w:cs="Arial" w:ascii="Arial" w:hAnsi="Arial"/>
                <w:b/>
              </w:rPr>
              <w:t>6</w:t>
            </w:r>
          </w:p>
        </w:tc>
        <w:tc>
          <w:tcPr>
            <w:tcW w:w="9177" w:type="dxa"/>
            <w:gridSpan w:val="2"/>
            <w:tcBorders/>
          </w:tcPr>
          <w:p>
            <w:pPr>
              <w:pStyle w:val="Normal"/>
              <w:spacing w:lineRule="auto" w:line="240" w:before="0" w:after="0"/>
              <w:rPr>
                <w:rFonts w:ascii="Arial" w:hAnsi="Arial" w:cs="Arial"/>
                <w:lang w:eastAsia="en-GB"/>
              </w:rPr>
            </w:pPr>
            <w:r>
              <w:rPr>
                <w:rFonts w:cs="Arial" w:ascii="Arial" w:hAnsi="Arial"/>
                <w:lang w:eastAsia="en-GB"/>
              </w:rPr>
              <w:t>To contribute to the development of commissioning strategies, plans, market position statements by providing evidence such as contract and quality data/information and any relevant analysis.</w:t>
            </w:r>
          </w:p>
        </w:tc>
      </w:tr>
      <w:tr>
        <w:trPr>
          <w:trHeight w:val="506" w:hRule="atLeast"/>
        </w:trPr>
        <w:tc>
          <w:tcPr>
            <w:tcW w:w="460" w:type="dxa"/>
            <w:tcBorders/>
          </w:tcPr>
          <w:p>
            <w:pPr>
              <w:pStyle w:val="Normal"/>
              <w:spacing w:lineRule="auto" w:line="240" w:before="0" w:after="0"/>
              <w:rPr>
                <w:rFonts w:ascii="Arial" w:hAnsi="Arial" w:cs="Arial"/>
                <w:b/>
              </w:rPr>
            </w:pPr>
            <w:r>
              <w:rPr>
                <w:rFonts w:cs="Arial" w:ascii="Arial" w:hAnsi="Arial"/>
                <w:b/>
              </w:rPr>
              <w:t>7</w:t>
            </w:r>
          </w:p>
        </w:tc>
        <w:tc>
          <w:tcPr>
            <w:tcW w:w="9177" w:type="dxa"/>
            <w:gridSpan w:val="2"/>
            <w:tcBorders/>
          </w:tcPr>
          <w:p>
            <w:pPr>
              <w:pStyle w:val="Normal"/>
              <w:spacing w:lineRule="auto" w:line="240" w:before="0" w:after="0"/>
              <w:rPr>
                <w:rFonts w:ascii="Arial" w:hAnsi="Arial" w:cs="Arial"/>
                <w:lang w:eastAsia="en-GB"/>
              </w:rPr>
            </w:pPr>
            <w:r>
              <w:rPr>
                <w:rFonts w:cs="Arial" w:ascii="Arial" w:hAnsi="Arial"/>
                <w:lang w:eastAsia="en-GB"/>
              </w:rPr>
              <w:t>To follow departmental and corporate policies, protocols and practices to ensure that providers are delivering in line with contract/service level agreement/funding agreement requirements, methodologies practice around quality and outcome monitoring.</w:t>
            </w:r>
          </w:p>
        </w:tc>
      </w:tr>
      <w:tr>
        <w:trPr>
          <w:trHeight w:val="506" w:hRule="atLeast"/>
        </w:trPr>
        <w:tc>
          <w:tcPr>
            <w:tcW w:w="460" w:type="dxa"/>
            <w:tcBorders/>
          </w:tcPr>
          <w:p>
            <w:pPr>
              <w:pStyle w:val="Normal"/>
              <w:spacing w:lineRule="auto" w:line="240" w:before="0" w:after="0"/>
              <w:rPr>
                <w:rFonts w:ascii="Arial" w:hAnsi="Arial" w:cs="Arial"/>
                <w:b/>
              </w:rPr>
            </w:pPr>
            <w:r>
              <w:rPr>
                <w:rFonts w:cs="Arial" w:ascii="Arial" w:hAnsi="Arial"/>
                <w:b/>
              </w:rPr>
              <w:t>8</w:t>
            </w:r>
          </w:p>
        </w:tc>
        <w:tc>
          <w:tcPr>
            <w:tcW w:w="9177" w:type="dxa"/>
            <w:gridSpan w:val="2"/>
            <w:tcBorders/>
          </w:tcPr>
          <w:p>
            <w:pPr>
              <w:pStyle w:val="Normal"/>
              <w:spacing w:lineRule="auto" w:line="240" w:before="0" w:after="0"/>
              <w:rPr>
                <w:rFonts w:ascii="Arial" w:hAnsi="Arial" w:cs="Arial"/>
                <w:color w:val="000000"/>
                <w:lang w:eastAsia="en-GB"/>
              </w:rPr>
            </w:pPr>
            <w:r>
              <w:rPr>
                <w:rFonts w:cs="Arial" w:ascii="Arial" w:hAnsi="Arial"/>
                <w:color w:val="000000"/>
                <w:lang w:eastAsia="en-GB"/>
              </w:rPr>
              <w:t>To advise other Commissioning Team colleagues on specific contract development requirements and compliance issues/options where the on-going contract risks require corrective action.</w:t>
            </w:r>
          </w:p>
        </w:tc>
      </w:tr>
      <w:tr>
        <w:trPr>
          <w:trHeight w:val="506" w:hRule="atLeast"/>
        </w:trPr>
        <w:tc>
          <w:tcPr>
            <w:tcW w:w="460" w:type="dxa"/>
            <w:tcBorders/>
          </w:tcPr>
          <w:p>
            <w:pPr>
              <w:pStyle w:val="Normal"/>
              <w:spacing w:lineRule="auto" w:line="240" w:before="0" w:after="0"/>
              <w:rPr>
                <w:rFonts w:ascii="Arial" w:hAnsi="Arial" w:cs="Arial"/>
                <w:b/>
              </w:rPr>
            </w:pPr>
            <w:r>
              <w:rPr>
                <w:rFonts w:cs="Arial" w:ascii="Arial" w:hAnsi="Arial"/>
                <w:b/>
              </w:rPr>
              <w:t>9</w:t>
            </w:r>
          </w:p>
        </w:tc>
        <w:tc>
          <w:tcPr>
            <w:tcW w:w="9177" w:type="dxa"/>
            <w:gridSpan w:val="2"/>
            <w:tcBorders/>
          </w:tcPr>
          <w:p>
            <w:pPr>
              <w:pStyle w:val="Normal"/>
              <w:spacing w:lineRule="auto" w:line="240" w:before="0" w:after="0"/>
              <w:rPr>
                <w:rFonts w:ascii="Arial" w:hAnsi="Arial" w:cs="Arial"/>
                <w:color w:val="000000"/>
              </w:rPr>
            </w:pPr>
            <w:r>
              <w:rPr>
                <w:rFonts w:cs="Arial" w:ascii="Arial" w:hAnsi="Arial"/>
                <w:color w:val="000000"/>
              </w:rPr>
              <w:t>To support procurement activity by assisting with the preparation of the tender, quotes or grant making documentation.</w:t>
            </w:r>
          </w:p>
        </w:tc>
      </w:tr>
      <w:tr>
        <w:trPr>
          <w:trHeight w:val="506" w:hRule="atLeast"/>
        </w:trPr>
        <w:tc>
          <w:tcPr>
            <w:tcW w:w="460" w:type="dxa"/>
            <w:tcBorders/>
          </w:tcPr>
          <w:p>
            <w:pPr>
              <w:pStyle w:val="Normal"/>
              <w:spacing w:lineRule="auto" w:line="240" w:before="0" w:after="0"/>
              <w:rPr>
                <w:rFonts w:ascii="Arial" w:hAnsi="Arial" w:cs="Arial"/>
                <w:b/>
              </w:rPr>
            </w:pPr>
            <w:r>
              <w:rPr>
                <w:rFonts w:cs="Arial" w:ascii="Arial" w:hAnsi="Arial"/>
                <w:b/>
              </w:rPr>
              <w:t>10</w:t>
            </w:r>
          </w:p>
        </w:tc>
        <w:tc>
          <w:tcPr>
            <w:tcW w:w="9177" w:type="dxa"/>
            <w:gridSpan w:val="2"/>
            <w:tcBorders/>
          </w:tcPr>
          <w:p>
            <w:pPr>
              <w:pStyle w:val="Normal"/>
              <w:tabs>
                <w:tab w:val="left" w:pos="720" w:leader="none"/>
                <w:tab w:val="left" w:pos="3600" w:leader="none"/>
              </w:tabs>
              <w:spacing w:lineRule="auto" w:line="240" w:before="0" w:after="0"/>
              <w:rPr>
                <w:rFonts w:ascii="Arial" w:hAnsi="Arial" w:cs="Arial"/>
              </w:rPr>
            </w:pPr>
            <w:r>
              <w:rPr>
                <w:rFonts w:cs="Arial" w:ascii="Arial" w:hAnsi="Arial"/>
              </w:rPr>
              <w:t>To provide information for commissioning related impact assessments highlighting key risks and ensuring contracts are risk managed.</w:t>
            </w:r>
          </w:p>
        </w:tc>
      </w:tr>
      <w:tr>
        <w:trPr>
          <w:trHeight w:val="506" w:hRule="atLeast"/>
        </w:trPr>
        <w:tc>
          <w:tcPr>
            <w:tcW w:w="460" w:type="dxa"/>
            <w:tcBorders/>
          </w:tcPr>
          <w:p>
            <w:pPr>
              <w:pStyle w:val="Normal"/>
              <w:spacing w:lineRule="auto" w:line="240" w:before="0" w:after="0"/>
              <w:rPr>
                <w:rFonts w:ascii="Arial" w:hAnsi="Arial" w:cs="Arial"/>
                <w:b/>
              </w:rPr>
            </w:pPr>
            <w:r>
              <w:rPr>
                <w:rFonts w:cs="Arial" w:ascii="Arial" w:hAnsi="Arial"/>
                <w:b/>
              </w:rPr>
              <w:t>11</w:t>
            </w:r>
          </w:p>
        </w:tc>
        <w:tc>
          <w:tcPr>
            <w:tcW w:w="9177" w:type="dxa"/>
            <w:gridSpan w:val="2"/>
            <w:tcBorders/>
          </w:tcPr>
          <w:p>
            <w:pPr>
              <w:pStyle w:val="Normal"/>
              <w:spacing w:lineRule="auto" w:line="240" w:before="0" w:after="0"/>
              <w:rPr>
                <w:rFonts w:ascii="Arial" w:hAnsi="Arial" w:cs="Arial"/>
                <w:color w:val="000000"/>
                <w:lang w:eastAsia="en-GB"/>
              </w:rPr>
            </w:pPr>
            <w:r>
              <w:rPr>
                <w:rFonts w:cs="Arial" w:ascii="Arial" w:hAnsi="Arial"/>
                <w:color w:val="000000"/>
                <w:lang w:eastAsia="en-GB"/>
              </w:rPr>
              <w:t>To undertake any other reasonable duty as directed by the Head of Service.</w:t>
            </w:r>
          </w:p>
        </w:tc>
      </w:tr>
      <w:tr>
        <w:trPr>
          <w:trHeight w:val="506" w:hRule="atLeast"/>
        </w:trPr>
        <w:tc>
          <w:tcPr>
            <w:tcW w:w="460" w:type="dxa"/>
            <w:tcBorders/>
          </w:tcPr>
          <w:p>
            <w:pPr>
              <w:pStyle w:val="Normal"/>
              <w:snapToGrid w:val="false"/>
              <w:spacing w:lineRule="auto" w:line="240" w:before="0" w:after="0"/>
              <w:rPr>
                <w:rFonts w:ascii="Arial" w:hAnsi="Arial" w:cs="Arial"/>
                <w:b/>
              </w:rPr>
            </w:pPr>
            <w:r>
              <w:rPr>
                <w:rFonts w:cs="Arial" w:ascii="Arial" w:hAnsi="Arial"/>
                <w:b/>
              </w:rPr>
            </w:r>
          </w:p>
        </w:tc>
        <w:tc>
          <w:tcPr>
            <w:tcW w:w="9177" w:type="dxa"/>
            <w:gridSpan w:val="2"/>
            <w:tcBorders/>
          </w:tcPr>
          <w:p>
            <w:pPr>
              <w:pStyle w:val="Normal"/>
              <w:snapToGrid w:val="false"/>
              <w:spacing w:lineRule="auto" w:line="240" w:before="0" w:after="0"/>
              <w:rPr>
                <w:rFonts w:ascii="Arial" w:hAnsi="Arial" w:cs="Arial"/>
                <w:b/>
                <w:color w:val="000000"/>
              </w:rPr>
            </w:pPr>
            <w:r>
              <w:rPr>
                <w:rFonts w:cs="Arial" w:ascii="Arial" w:hAnsi="Arial"/>
                <w:b/>
                <w:color w:val="000000"/>
              </w:rPr>
            </w:r>
          </w:p>
        </w:tc>
      </w:tr>
      <w:tr>
        <w:trPr/>
        <w:tc>
          <w:tcPr>
            <w:tcW w:w="4572" w:type="dxa"/>
            <w:gridSpan w:val="2"/>
            <w:tcBorders/>
          </w:tcPr>
          <w:p>
            <w:pPr>
              <w:pStyle w:val="Normal"/>
              <w:spacing w:lineRule="auto" w:line="240" w:before="0" w:after="0"/>
              <w:rPr>
                <w:rFonts w:ascii="Arial" w:hAnsi="Arial" w:cs="Arial"/>
                <w:b/>
              </w:rPr>
            </w:pPr>
            <w:r>
              <w:rPr>
                <w:rFonts w:cs="Arial" w:ascii="Arial" w:hAnsi="Arial"/>
                <w:b/>
              </w:rPr>
              <w:t>Date Job Description updated:</w:t>
            </w:r>
          </w:p>
        </w:tc>
        <w:tc>
          <w:tcPr>
            <w:tcW w:w="5065" w:type="dxa"/>
            <w:tcBorders/>
          </w:tcPr>
          <w:p>
            <w:pPr>
              <w:pStyle w:val="Normal"/>
              <w:spacing w:lineRule="auto" w:line="240" w:before="0" w:after="0"/>
              <w:rPr>
                <w:rFonts w:ascii="Arial" w:hAnsi="Arial" w:cs="Arial"/>
                <w:b/>
              </w:rPr>
            </w:pPr>
            <w:r>
              <w:rPr>
                <w:rFonts w:cs="Arial" w:ascii="Arial" w:hAnsi="Arial"/>
                <w:b/>
              </w:rPr>
              <w:t>August 2022</w:t>
            </w:r>
          </w:p>
        </w:tc>
      </w:tr>
      <w:tr>
        <w:trPr/>
        <w:tc>
          <w:tcPr>
            <w:tcW w:w="4572" w:type="dxa"/>
            <w:gridSpan w:val="2"/>
            <w:tcBorders/>
          </w:tcPr>
          <w:p>
            <w:pPr>
              <w:pStyle w:val="Normal"/>
              <w:spacing w:lineRule="auto" w:line="240" w:before="0" w:after="0"/>
              <w:rPr>
                <w:rFonts w:ascii="Arial" w:hAnsi="Arial" w:cs="Arial"/>
                <w:b/>
              </w:rPr>
            </w:pPr>
            <w:r>
              <w:rPr>
                <w:rFonts w:cs="Arial" w:ascii="Arial" w:hAnsi="Arial"/>
                <w:b/>
              </w:rPr>
              <w:t xml:space="preserve">Job Description updated by: </w:t>
            </w:r>
          </w:p>
        </w:tc>
        <w:tc>
          <w:tcPr>
            <w:tcW w:w="5065" w:type="dxa"/>
            <w:tcBorders/>
          </w:tcPr>
          <w:p>
            <w:pPr>
              <w:pStyle w:val="Normal"/>
              <w:spacing w:lineRule="auto" w:line="240" w:before="0" w:after="0"/>
              <w:rPr>
                <w:rFonts w:ascii="Arial" w:hAnsi="Arial" w:cs="Arial"/>
                <w:b/>
              </w:rPr>
            </w:pPr>
            <w:r>
              <w:rPr>
                <w:rFonts w:cs="Arial" w:ascii="Arial" w:hAnsi="Arial"/>
                <w:b/>
              </w:rPr>
              <w:t>Amanda Symes, Head of Quality Assurance &amp; Improvement</w:t>
            </w:r>
          </w:p>
          <w:p>
            <w:pPr>
              <w:pStyle w:val="Normal"/>
              <w:spacing w:lineRule="auto" w:line="240" w:before="0" w:after="0"/>
              <w:rPr>
                <w:rFonts w:ascii="Arial" w:hAnsi="Arial" w:cs="Arial"/>
                <w:b/>
              </w:rPr>
            </w:pPr>
            <w:r>
              <w:rPr>
                <w:rFonts w:cs="Arial" w:ascii="Arial" w:hAnsi="Arial"/>
                <w:b/>
              </w:rPr>
            </w:r>
          </w:p>
        </w:tc>
      </w:tr>
    </w:tbl>
    <w:p>
      <w:pPr>
        <w:sectPr>
          <w:footerReference w:type="default" r:id="rId5"/>
          <w:type w:val="nextPage"/>
          <w:pgSz w:w="11906" w:h="16838"/>
          <w:pgMar w:left="1134" w:right="1134" w:gutter="0" w:header="0" w:top="1361" w:footer="709" w:bottom="1134"/>
          <w:pgNumType w:fmt="decimal"/>
          <w:formProt w:val="false"/>
          <w:textDirection w:val="lrTb"/>
          <w:docGrid w:type="default" w:linePitch="360" w:charSpace="4096"/>
        </w:sectPr>
      </w:pPr>
    </w:p>
    <w:p>
      <w:pPr>
        <w:pStyle w:val="Normal"/>
        <w:rPr>
          <w:rFonts w:ascii="Arial" w:hAnsi="Arial" w:cs="Arial"/>
          <w:b/>
        </w:rPr>
      </w:pPr>
      <w:r>
        <w:rPr/>
        <w:drawing>
          <wp:inline distT="0" distB="0" distL="0" distR="0">
            <wp:extent cx="3692525" cy="513715"/>
            <wp:effectExtent l="0" t="0" r="0" b="0"/>
            <wp:docPr id="6"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 descr=""/>
                    <pic:cNvPicPr>
                      <a:picLocks noChangeAspect="1" noChangeArrowheads="1"/>
                    </pic:cNvPicPr>
                  </pic:nvPicPr>
                  <pic:blipFill>
                    <a:blip r:embed="rId6"/>
                    <a:srcRect l="-12" t="-84" r="-12" b="-84"/>
                    <a:stretch>
                      <a:fillRect/>
                    </a:stretch>
                  </pic:blipFill>
                  <pic:spPr bwMode="auto">
                    <a:xfrm>
                      <a:off x="0" y="0"/>
                      <a:ext cx="3692525" cy="513715"/>
                    </a:xfrm>
                    <a:prstGeom prst="rect">
                      <a:avLst/>
                    </a:prstGeom>
                  </pic:spPr>
                </pic:pic>
              </a:graphicData>
            </a:graphic>
          </wp:inline>
        </w:drawing>
      </w:r>
    </w:p>
    <w:tbl>
      <w:tblPr>
        <w:tblW w:w="10065" w:type="dxa"/>
        <w:jc w:val="left"/>
        <w:tblInd w:w="108" w:type="dxa"/>
        <w:tblLayout w:type="fixed"/>
        <w:tblCellMar>
          <w:top w:w="0" w:type="dxa"/>
          <w:left w:w="108" w:type="dxa"/>
          <w:bottom w:w="0" w:type="dxa"/>
          <w:right w:w="108" w:type="dxa"/>
        </w:tblCellMar>
      </w:tblPr>
      <w:tblGrid>
        <w:gridCol w:w="675"/>
        <w:gridCol w:w="33"/>
        <w:gridCol w:w="959"/>
        <w:gridCol w:w="4800"/>
        <w:gridCol w:w="19"/>
        <w:gridCol w:w="3579"/>
      </w:tblGrid>
      <w:tr>
        <w:trPr/>
        <w:tc>
          <w:tcPr>
            <w:tcW w:w="1667" w:type="dxa"/>
            <w:gridSpan w:val="3"/>
            <w:tcBorders/>
          </w:tcPr>
          <w:p>
            <w:pPr>
              <w:pStyle w:val="Normal"/>
              <w:spacing w:before="60" w:after="60"/>
              <w:rPr>
                <w:rFonts w:ascii="Arial" w:hAnsi="Arial" w:cs="Arial"/>
                <w:b/>
              </w:rPr>
            </w:pPr>
            <w:r>
              <w:rPr>
                <w:rFonts w:cs="Arial" w:ascii="Arial" w:hAnsi="Arial"/>
                <w:b/>
              </w:rPr>
              <w:t>Department</w:t>
            </w:r>
          </w:p>
        </w:tc>
        <w:tc>
          <w:tcPr>
            <w:tcW w:w="8398" w:type="dxa"/>
            <w:gridSpan w:val="3"/>
            <w:tcBorders/>
          </w:tcPr>
          <w:p>
            <w:pPr>
              <w:pStyle w:val="Normal"/>
              <w:spacing w:before="60" w:after="60"/>
              <w:rPr>
                <w:rFonts w:ascii="Arial" w:hAnsi="Arial" w:cs="Arial"/>
                <w:b/>
                <w:caps/>
              </w:rPr>
            </w:pPr>
            <w:r>
              <w:rPr>
                <w:rFonts w:cs="Arial" w:ascii="Arial" w:hAnsi="Arial"/>
                <w:b/>
                <w:caps/>
              </w:rPr>
              <w:t>adult’s</w:t>
            </w:r>
          </w:p>
        </w:tc>
      </w:tr>
      <w:tr>
        <w:trPr/>
        <w:tc>
          <w:tcPr>
            <w:tcW w:w="1667" w:type="dxa"/>
            <w:gridSpan w:val="3"/>
            <w:tcBorders>
              <w:bottom w:val="single" w:sz="4" w:space="0" w:color="000000"/>
            </w:tcBorders>
          </w:tcPr>
          <w:p>
            <w:pPr>
              <w:pStyle w:val="Normal"/>
              <w:spacing w:before="60" w:after="240"/>
              <w:rPr>
                <w:rFonts w:ascii="Arial" w:hAnsi="Arial" w:cs="Arial"/>
                <w:b/>
              </w:rPr>
            </w:pPr>
            <w:r>
              <w:rPr>
                <w:rFonts w:cs="Arial" w:ascii="Arial" w:hAnsi="Arial"/>
                <w:b/>
              </w:rPr>
              <w:t>Job Title</w:t>
            </w:r>
          </w:p>
        </w:tc>
        <w:tc>
          <w:tcPr>
            <w:tcW w:w="8398" w:type="dxa"/>
            <w:gridSpan w:val="3"/>
            <w:tcBorders>
              <w:bottom w:val="single" w:sz="4" w:space="0" w:color="000000"/>
            </w:tcBorders>
          </w:tcPr>
          <w:p>
            <w:pPr>
              <w:pStyle w:val="Normal"/>
              <w:spacing w:before="60" w:after="60"/>
              <w:rPr>
                <w:rFonts w:ascii="Arial" w:hAnsi="Arial" w:cs="Arial"/>
                <w:b/>
                <w:bCs/>
              </w:rPr>
            </w:pPr>
            <w:r>
              <w:rPr>
                <w:rFonts w:cs="Arial" w:ascii="Arial" w:hAnsi="Arial"/>
                <w:b/>
                <w:bCs/>
              </w:rPr>
              <w:t>Contract and Quality Monitoring Officer</w:t>
            </w:r>
          </w:p>
        </w:tc>
      </w:tr>
      <w:tr>
        <w:trPr/>
        <w:tc>
          <w:tcPr>
            <w:tcW w:w="1667" w:type="dxa"/>
            <w:gridSpan w:val="3"/>
            <w:tcBorders>
              <w:top w:val="single" w:sz="4" w:space="0" w:color="000000"/>
              <w:left w:val="single" w:sz="4" w:space="0" w:color="000000"/>
              <w:bottom w:val="single" w:sz="4" w:space="0" w:color="000000"/>
              <w:right w:val="single" w:sz="4" w:space="0" w:color="000000"/>
            </w:tcBorders>
          </w:tcPr>
          <w:p>
            <w:pPr>
              <w:pStyle w:val="Normal"/>
              <w:spacing w:before="60" w:after="240"/>
              <w:rPr>
                <w:rFonts w:ascii="Arial" w:hAnsi="Arial" w:cs="Arial"/>
                <w:b/>
              </w:rPr>
            </w:pPr>
            <w:r>
              <w:rPr>
                <w:rFonts w:cs="Arial" w:ascii="Arial" w:hAnsi="Arial"/>
                <w:b/>
              </w:rPr>
              <w:t>Stage One</w:t>
            </w:r>
          </w:p>
        </w:tc>
        <w:tc>
          <w:tcPr>
            <w:tcW w:w="8398" w:type="dxa"/>
            <w:gridSpan w:val="3"/>
            <w:tcBorders>
              <w:top w:val="single" w:sz="4" w:space="0" w:color="000000"/>
              <w:left w:val="single" w:sz="4" w:space="0" w:color="000000"/>
              <w:bottom w:val="single" w:sz="4" w:space="0" w:color="000000"/>
              <w:right w:val="single" w:sz="4" w:space="0" w:color="000000"/>
            </w:tcBorders>
          </w:tcPr>
          <w:p>
            <w:pPr>
              <w:pStyle w:val="Normal"/>
              <w:spacing w:before="60" w:after="60"/>
              <w:rPr/>
            </w:pPr>
            <w:r>
              <w:rPr>
                <w:rFonts w:cs="Arial" w:ascii="Arial" w:hAnsi="Arial"/>
                <w:bCs/>
              </w:rPr>
              <w:t xml:space="preserve">Candidates who are care leavers, have a disability, are ex-armed forces or are a carer (see </w:t>
            </w:r>
            <w:r>
              <w:rPr>
                <w:rStyle w:val="Hyperlink"/>
              </w:rPr>
              <w:t>Carers-Charter-FINAL.pdf (gmhsc.org.uk)</w:t>
            </w:r>
            <w:r>
              <w:rPr/>
              <w:t xml:space="preserve"> </w:t>
            </w:r>
            <w:r>
              <w:rPr>
                <w:rFonts w:cs="Arial" w:ascii="Arial" w:hAnsi="Arial"/>
                <w:bCs/>
              </w:rPr>
              <w:t>are guaranteed an interview if they meet the essential criteria for the role</w:t>
            </w:r>
          </w:p>
        </w:tc>
      </w:tr>
      <w:tr>
        <w:trPr/>
        <w:tc>
          <w:tcPr>
            <w:tcW w:w="6486" w:type="dxa"/>
            <w:gridSpan w:val="5"/>
            <w:tcBorders>
              <w:top w:val="single" w:sz="4" w:space="0" w:color="000000"/>
              <w:left w:val="single" w:sz="4" w:space="0" w:color="000000"/>
              <w:right w:val="single" w:sz="4" w:space="0" w:color="000000"/>
            </w:tcBorders>
            <w:shd w:fill="000000" w:val="clear"/>
          </w:tcPr>
          <w:p>
            <w:pPr>
              <w:pStyle w:val="Normal"/>
              <w:spacing w:before="60" w:after="60"/>
              <w:rPr>
                <w:rFonts w:ascii="Arial" w:hAnsi="Arial" w:cs="Arial"/>
                <w:b/>
                <w:color w:val="FFFFFF"/>
              </w:rPr>
            </w:pPr>
            <w:r>
              <w:rPr>
                <w:rFonts w:cs="Arial" w:ascii="Arial" w:hAnsi="Arial"/>
                <w:b/>
                <w:color w:val="FFFFFF"/>
              </w:rPr>
              <w:t>The Minimum Essential Requirements for the above Post are as Follows:</w:t>
            </w:r>
          </w:p>
        </w:tc>
        <w:tc>
          <w:tcPr>
            <w:tcW w:w="3579" w:type="dxa"/>
            <w:tcBorders>
              <w:top w:val="single" w:sz="4" w:space="0" w:color="000000"/>
              <w:left w:val="single" w:sz="4" w:space="0" w:color="000000"/>
              <w:right w:val="single" w:sz="4" w:space="0" w:color="000000"/>
            </w:tcBorders>
            <w:shd w:fill="000000" w:val="clear"/>
          </w:tcPr>
          <w:p>
            <w:pPr>
              <w:pStyle w:val="Normal"/>
              <w:spacing w:before="60" w:after="60"/>
              <w:rPr>
                <w:rFonts w:ascii="Arial" w:hAnsi="Arial" w:cs="Arial"/>
                <w:b/>
                <w:color w:val="FFFFFF"/>
              </w:rPr>
            </w:pPr>
            <w:r>
              <w:rPr>
                <w:rFonts w:cs="Arial" w:ascii="Arial" w:hAnsi="Arial"/>
                <w:b/>
                <w:color w:val="FFFFFF"/>
              </w:rPr>
              <w:t>Method of Assessment</w:t>
            </w:r>
          </w:p>
        </w:tc>
      </w:tr>
      <w:tr>
        <w:trPr>
          <w:cantSplit w:val="true"/>
        </w:trPr>
        <w:tc>
          <w:tcPr>
            <w:tcW w:w="675" w:type="dxa"/>
            <w:tcBorders>
              <w:bottom w:val="single" w:sz="4" w:space="0" w:color="000000"/>
            </w:tcBorders>
            <w:shd w:fill="D9D9D9" w:val="clear"/>
          </w:tcPr>
          <w:p>
            <w:pPr>
              <w:pStyle w:val="Normal"/>
              <w:spacing w:before="60" w:after="60"/>
              <w:rPr>
                <w:rFonts w:ascii="Arial" w:hAnsi="Arial" w:cs="Arial"/>
                <w:b/>
              </w:rPr>
            </w:pPr>
            <w:r>
              <w:rPr>
                <w:rFonts w:cs="Arial" w:ascii="Arial" w:hAnsi="Arial"/>
                <w:b/>
              </w:rPr>
              <w:t>1.</w:t>
            </w:r>
          </w:p>
        </w:tc>
        <w:tc>
          <w:tcPr>
            <w:tcW w:w="9390" w:type="dxa"/>
            <w:gridSpan w:val="5"/>
            <w:tcBorders>
              <w:bottom w:val="single" w:sz="4" w:space="0" w:color="000000"/>
            </w:tcBorders>
            <w:shd w:fill="D9D9D9" w:val="clear"/>
          </w:tcPr>
          <w:p>
            <w:pPr>
              <w:pStyle w:val="Normal"/>
              <w:spacing w:before="60" w:after="60"/>
              <w:rPr>
                <w:rFonts w:ascii="Arial" w:hAnsi="Arial" w:cs="Arial"/>
                <w:b/>
              </w:rPr>
            </w:pPr>
            <w:r>
              <w:rPr>
                <w:rFonts w:cs="Arial" w:ascii="Arial" w:hAnsi="Arial"/>
                <w:b/>
              </w:rPr>
              <w:t>Skills and Knowledge</w:t>
            </w:r>
          </w:p>
        </w:tc>
      </w:tr>
      <w:tr>
        <w:trPr>
          <w:cantSplit w:val="true"/>
        </w:trPr>
        <w:tc>
          <w:tcPr>
            <w:tcW w:w="675" w:type="dxa"/>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1.</w:t>
            </w:r>
          </w:p>
        </w:tc>
        <w:tc>
          <w:tcPr>
            <w:tcW w:w="5811" w:type="dxa"/>
            <w:gridSpan w:val="4"/>
            <w:tcBorders>
              <w:top w:val="single" w:sz="4" w:space="0" w:color="000000"/>
              <w:bottom w:val="single" w:sz="4" w:space="0" w:color="000000"/>
            </w:tcBorders>
          </w:tcPr>
          <w:p>
            <w:pPr>
              <w:pStyle w:val="Normal"/>
              <w:spacing w:before="120" w:after="120"/>
              <w:ind w:right="175"/>
              <w:rPr>
                <w:rFonts w:ascii="Arial" w:hAnsi="Arial" w:cs="Arial"/>
              </w:rPr>
            </w:pPr>
            <w:r>
              <w:rPr>
                <w:rFonts w:cs="Arial" w:ascii="Arial" w:hAnsi="Arial"/>
              </w:rPr>
              <w:t xml:space="preserve">Demonstrate an understanding of the Health and Social Care Act 2012  (Regulated Activities) </w:t>
            </w:r>
          </w:p>
        </w:tc>
        <w:tc>
          <w:tcPr>
            <w:tcW w:w="3579" w:type="dxa"/>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Application/</w:t>
            </w:r>
          </w:p>
        </w:tc>
      </w:tr>
      <w:tr>
        <w:trPr>
          <w:cantSplit w:val="true"/>
        </w:trPr>
        <w:tc>
          <w:tcPr>
            <w:tcW w:w="675" w:type="dxa"/>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2.</w:t>
            </w:r>
          </w:p>
        </w:tc>
        <w:tc>
          <w:tcPr>
            <w:tcW w:w="5811" w:type="dxa"/>
            <w:gridSpan w:val="4"/>
            <w:tcBorders>
              <w:top w:val="single" w:sz="4" w:space="0" w:color="000000"/>
              <w:bottom w:val="single" w:sz="4" w:space="0" w:color="000000"/>
            </w:tcBorders>
          </w:tcPr>
          <w:p>
            <w:pPr>
              <w:pStyle w:val="Normal"/>
              <w:spacing w:before="120" w:after="120"/>
              <w:ind w:right="175"/>
              <w:rPr>
                <w:rFonts w:ascii="Arial" w:hAnsi="Arial" w:cs="Arial"/>
                <w:lang w:eastAsia="en-GB"/>
              </w:rPr>
            </w:pPr>
            <w:r>
              <w:rPr>
                <w:rFonts w:cs="Arial" w:ascii="Arial" w:hAnsi="Arial"/>
                <w:lang w:eastAsia="en-GB"/>
              </w:rPr>
              <w:t xml:space="preserve">Demonstrate an understanding of quality assurance and contract monitoring within a health and social care service.  </w:t>
            </w:r>
          </w:p>
        </w:tc>
        <w:tc>
          <w:tcPr>
            <w:tcW w:w="3579" w:type="dxa"/>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Interview/Test</w:t>
            </w:r>
          </w:p>
        </w:tc>
      </w:tr>
      <w:tr>
        <w:trPr>
          <w:cantSplit w:val="true"/>
        </w:trPr>
        <w:tc>
          <w:tcPr>
            <w:tcW w:w="675" w:type="dxa"/>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3.</w:t>
            </w:r>
          </w:p>
        </w:tc>
        <w:tc>
          <w:tcPr>
            <w:tcW w:w="5811" w:type="dxa"/>
            <w:gridSpan w:val="4"/>
            <w:tcBorders>
              <w:top w:val="single" w:sz="4" w:space="0" w:color="000000"/>
              <w:bottom w:val="single" w:sz="4" w:space="0" w:color="000000"/>
            </w:tcBorders>
          </w:tcPr>
          <w:p>
            <w:pPr>
              <w:pStyle w:val="Normal"/>
              <w:spacing w:before="120" w:after="120"/>
              <w:ind w:right="175"/>
              <w:rPr>
                <w:rFonts w:ascii="Arial" w:hAnsi="Arial" w:cs="Arial"/>
              </w:rPr>
            </w:pPr>
            <w:r>
              <w:rPr>
                <w:rFonts w:cs="Arial" w:ascii="Arial" w:hAnsi="Arial"/>
              </w:rPr>
              <w:t xml:space="preserve">Ability to understand, analyse and draw conclusions from complex quantitative and qualitative data.  </w:t>
            </w:r>
          </w:p>
        </w:tc>
        <w:tc>
          <w:tcPr>
            <w:tcW w:w="3579" w:type="dxa"/>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Interview/Test</w:t>
            </w:r>
          </w:p>
        </w:tc>
      </w:tr>
      <w:tr>
        <w:trPr>
          <w:cantSplit w:val="true"/>
        </w:trPr>
        <w:tc>
          <w:tcPr>
            <w:tcW w:w="675" w:type="dxa"/>
            <w:tcBorders>
              <w:bottom w:val="single" w:sz="4" w:space="0" w:color="000000"/>
            </w:tcBorders>
          </w:tcPr>
          <w:p>
            <w:pPr>
              <w:pStyle w:val="Normal"/>
              <w:spacing w:before="120" w:after="120"/>
              <w:rPr>
                <w:rFonts w:ascii="Arial" w:hAnsi="Arial" w:cs="Arial"/>
              </w:rPr>
            </w:pPr>
            <w:r>
              <w:rPr>
                <w:rFonts w:cs="Arial" w:ascii="Arial" w:hAnsi="Arial"/>
              </w:rPr>
              <w:t>4.</w:t>
            </w:r>
          </w:p>
        </w:tc>
        <w:tc>
          <w:tcPr>
            <w:tcW w:w="5811" w:type="dxa"/>
            <w:gridSpan w:val="4"/>
            <w:tcBorders>
              <w:bottom w:val="single" w:sz="4" w:space="0" w:color="000000"/>
            </w:tcBorders>
          </w:tcPr>
          <w:p>
            <w:pPr>
              <w:pStyle w:val="Normal"/>
              <w:spacing w:before="120" w:after="120"/>
              <w:ind w:right="175"/>
              <w:rPr>
                <w:rFonts w:ascii="Arial" w:hAnsi="Arial" w:cs="Arial"/>
              </w:rPr>
            </w:pPr>
            <w:r>
              <w:rPr>
                <w:rFonts w:cs="Arial" w:ascii="Arial" w:hAnsi="Arial"/>
              </w:rPr>
              <w:t xml:space="preserve">Demonstrate an understanding of the potential impact on stakeholders of quality assurance and contract monitoring work.   </w:t>
            </w:r>
          </w:p>
        </w:tc>
        <w:tc>
          <w:tcPr>
            <w:tcW w:w="3579" w:type="dxa"/>
            <w:tcBorders>
              <w:bottom w:val="single" w:sz="4" w:space="0" w:color="000000"/>
            </w:tcBorders>
          </w:tcPr>
          <w:p>
            <w:pPr>
              <w:pStyle w:val="Normal"/>
              <w:spacing w:before="120" w:after="120"/>
              <w:rPr>
                <w:rFonts w:ascii="Arial" w:hAnsi="Arial" w:cs="Arial"/>
              </w:rPr>
            </w:pPr>
            <w:r>
              <w:rPr>
                <w:rFonts w:cs="Arial" w:ascii="Arial" w:hAnsi="Arial"/>
              </w:rPr>
              <w:t>Application/Interview</w:t>
            </w:r>
          </w:p>
        </w:tc>
      </w:tr>
      <w:tr>
        <w:trPr>
          <w:cantSplit w:val="true"/>
        </w:trPr>
        <w:tc>
          <w:tcPr>
            <w:tcW w:w="675" w:type="dxa"/>
            <w:tcBorders>
              <w:bottom w:val="single" w:sz="4" w:space="0" w:color="000000"/>
            </w:tcBorders>
          </w:tcPr>
          <w:p>
            <w:pPr>
              <w:pStyle w:val="Normal"/>
              <w:spacing w:before="120" w:after="120"/>
              <w:rPr>
                <w:rFonts w:ascii="Arial" w:hAnsi="Arial" w:cs="Arial"/>
              </w:rPr>
            </w:pPr>
            <w:r>
              <w:rPr>
                <w:rFonts w:cs="Arial" w:ascii="Arial" w:hAnsi="Arial"/>
              </w:rPr>
              <w:t>5.</w:t>
            </w:r>
          </w:p>
        </w:tc>
        <w:tc>
          <w:tcPr>
            <w:tcW w:w="5811" w:type="dxa"/>
            <w:gridSpan w:val="4"/>
            <w:tcBorders>
              <w:bottom w:val="single" w:sz="4" w:space="0" w:color="000000"/>
            </w:tcBorders>
          </w:tcPr>
          <w:p>
            <w:pPr>
              <w:pStyle w:val="Normal"/>
              <w:spacing w:before="120" w:after="120"/>
              <w:ind w:right="175"/>
              <w:rPr>
                <w:rFonts w:ascii="Arial" w:hAnsi="Arial" w:cs="Arial"/>
              </w:rPr>
            </w:pPr>
            <w:r>
              <w:rPr>
                <w:rFonts w:cs="Arial" w:ascii="Arial" w:hAnsi="Arial"/>
              </w:rPr>
              <w:t xml:space="preserve">Ability to develop positive relationships with a range of stakeholders including providers, service users, health and social care professionals </w:t>
            </w:r>
          </w:p>
        </w:tc>
        <w:tc>
          <w:tcPr>
            <w:tcW w:w="3579" w:type="dxa"/>
            <w:tcBorders>
              <w:bottom w:val="single" w:sz="4" w:space="0" w:color="000000"/>
            </w:tcBorders>
          </w:tcPr>
          <w:p>
            <w:pPr>
              <w:pStyle w:val="Normal"/>
              <w:spacing w:before="120" w:after="120"/>
              <w:rPr>
                <w:rFonts w:ascii="Arial" w:hAnsi="Arial" w:cs="Arial"/>
              </w:rPr>
            </w:pPr>
            <w:r>
              <w:rPr>
                <w:rFonts w:cs="Arial" w:ascii="Arial" w:hAnsi="Arial"/>
              </w:rPr>
              <w:t>Application/Interview</w:t>
            </w:r>
          </w:p>
        </w:tc>
      </w:tr>
      <w:tr>
        <w:trPr>
          <w:cantSplit w:val="true"/>
        </w:trPr>
        <w:tc>
          <w:tcPr>
            <w:tcW w:w="675" w:type="dxa"/>
            <w:tcBorders>
              <w:bottom w:val="single" w:sz="4" w:space="0" w:color="000000"/>
            </w:tcBorders>
          </w:tcPr>
          <w:p>
            <w:pPr>
              <w:pStyle w:val="Normal"/>
              <w:spacing w:before="120" w:after="120"/>
              <w:rPr>
                <w:rFonts w:ascii="Arial" w:hAnsi="Arial" w:cs="Arial"/>
              </w:rPr>
            </w:pPr>
            <w:r>
              <w:rPr>
                <w:rFonts w:cs="Arial" w:ascii="Arial" w:hAnsi="Arial"/>
              </w:rPr>
              <w:t>6.</w:t>
            </w:r>
          </w:p>
        </w:tc>
        <w:tc>
          <w:tcPr>
            <w:tcW w:w="5811" w:type="dxa"/>
            <w:gridSpan w:val="4"/>
            <w:tcBorders>
              <w:bottom w:val="single" w:sz="4" w:space="0" w:color="000000"/>
            </w:tcBorders>
          </w:tcPr>
          <w:p>
            <w:pPr>
              <w:pStyle w:val="Normal"/>
              <w:spacing w:before="120" w:after="120"/>
              <w:ind w:right="175"/>
              <w:rPr>
                <w:rFonts w:ascii="Arial" w:hAnsi="Arial" w:cs="Arial"/>
              </w:rPr>
            </w:pPr>
            <w:r>
              <w:rPr>
                <w:rFonts w:cs="Arial" w:ascii="Arial" w:hAnsi="Arial"/>
              </w:rPr>
              <w:t>Ability to organise own workload and prioritise tasks in order to meet targets and deadlines.</w:t>
            </w:r>
          </w:p>
        </w:tc>
        <w:tc>
          <w:tcPr>
            <w:tcW w:w="3579" w:type="dxa"/>
            <w:tcBorders>
              <w:bottom w:val="single" w:sz="4" w:space="0" w:color="000000"/>
            </w:tcBorders>
          </w:tcPr>
          <w:p>
            <w:pPr>
              <w:pStyle w:val="Normal"/>
              <w:spacing w:before="120" w:after="120"/>
              <w:rPr>
                <w:rFonts w:ascii="Arial" w:hAnsi="Arial" w:cs="Arial"/>
              </w:rPr>
            </w:pPr>
            <w:r>
              <w:rPr>
                <w:rFonts w:cs="Arial" w:ascii="Arial" w:hAnsi="Arial"/>
              </w:rPr>
              <w:t>Interview</w:t>
            </w:r>
          </w:p>
        </w:tc>
      </w:tr>
      <w:tr>
        <w:trPr>
          <w:cantSplit w:val="true"/>
        </w:trPr>
        <w:tc>
          <w:tcPr>
            <w:tcW w:w="675" w:type="dxa"/>
            <w:tcBorders>
              <w:bottom w:val="single" w:sz="4" w:space="0" w:color="000000"/>
            </w:tcBorders>
          </w:tcPr>
          <w:p>
            <w:pPr>
              <w:pStyle w:val="Normal"/>
              <w:spacing w:before="120" w:after="120"/>
              <w:rPr>
                <w:rFonts w:ascii="Arial" w:hAnsi="Arial" w:cs="Arial"/>
              </w:rPr>
            </w:pPr>
            <w:r>
              <w:rPr>
                <w:rFonts w:cs="Arial" w:ascii="Arial" w:hAnsi="Arial"/>
              </w:rPr>
              <w:t>7.</w:t>
            </w:r>
          </w:p>
        </w:tc>
        <w:tc>
          <w:tcPr>
            <w:tcW w:w="5811" w:type="dxa"/>
            <w:gridSpan w:val="4"/>
            <w:tcBorders>
              <w:bottom w:val="single" w:sz="4" w:space="0" w:color="000000"/>
            </w:tcBorders>
          </w:tcPr>
          <w:p>
            <w:pPr>
              <w:pStyle w:val="Normal"/>
              <w:spacing w:before="120" w:after="120"/>
              <w:ind w:right="175"/>
              <w:rPr>
                <w:rFonts w:ascii="Arial" w:hAnsi="Arial" w:cs="Arial"/>
              </w:rPr>
            </w:pPr>
            <w:r>
              <w:rPr>
                <w:rFonts w:cs="Arial" w:ascii="Arial" w:hAnsi="Arial"/>
              </w:rPr>
              <w:t xml:space="preserve">Ability to negotiate, influence and resolve conflicts whilst maintaining positive relationships.  </w:t>
            </w:r>
          </w:p>
        </w:tc>
        <w:tc>
          <w:tcPr>
            <w:tcW w:w="3579" w:type="dxa"/>
            <w:tcBorders>
              <w:bottom w:val="single" w:sz="4" w:space="0" w:color="000000"/>
            </w:tcBorders>
          </w:tcPr>
          <w:p>
            <w:pPr>
              <w:pStyle w:val="Normal"/>
              <w:spacing w:lineRule="auto" w:line="240"/>
              <w:jc w:val="both"/>
              <w:rPr>
                <w:rFonts w:ascii="Arial" w:hAnsi="Arial" w:cs="Arial"/>
                <w:lang w:eastAsia="en-GB"/>
              </w:rPr>
            </w:pPr>
            <w:r>
              <w:rPr>
                <w:rFonts w:cs="Arial" w:ascii="Arial" w:hAnsi="Arial"/>
                <w:lang w:eastAsia="en-GB"/>
              </w:rPr>
              <w:t>Interview</w:t>
            </w:r>
          </w:p>
          <w:p>
            <w:pPr>
              <w:pStyle w:val="Normal"/>
              <w:spacing w:before="120" w:after="120"/>
              <w:rPr>
                <w:rFonts w:ascii="Arial" w:hAnsi="Arial" w:cs="Arial"/>
              </w:rPr>
            </w:pPr>
            <w:r>
              <w:rPr>
                <w:rFonts w:cs="Arial" w:ascii="Arial" w:hAnsi="Arial"/>
              </w:rPr>
            </w:r>
          </w:p>
        </w:tc>
      </w:tr>
      <w:tr>
        <w:trPr>
          <w:cantSplit w:val="true"/>
        </w:trPr>
        <w:tc>
          <w:tcPr>
            <w:tcW w:w="675" w:type="dxa"/>
            <w:tcBorders>
              <w:bottom w:val="single" w:sz="4" w:space="0" w:color="000000"/>
            </w:tcBorders>
          </w:tcPr>
          <w:p>
            <w:pPr>
              <w:pStyle w:val="Normal"/>
              <w:spacing w:before="120" w:after="120"/>
              <w:rPr>
                <w:rFonts w:ascii="Arial" w:hAnsi="Arial" w:cs="Arial"/>
              </w:rPr>
            </w:pPr>
            <w:r>
              <w:rPr>
                <w:rFonts w:cs="Arial" w:ascii="Arial" w:hAnsi="Arial"/>
              </w:rPr>
              <w:t xml:space="preserve">8. </w:t>
            </w:r>
          </w:p>
        </w:tc>
        <w:tc>
          <w:tcPr>
            <w:tcW w:w="5811" w:type="dxa"/>
            <w:gridSpan w:val="4"/>
            <w:tcBorders>
              <w:bottom w:val="single" w:sz="4" w:space="0" w:color="000000"/>
            </w:tcBorders>
          </w:tcPr>
          <w:p>
            <w:pPr>
              <w:pStyle w:val="Normal"/>
              <w:spacing w:before="120" w:after="120"/>
              <w:ind w:right="175"/>
              <w:rPr>
                <w:rFonts w:ascii="Arial" w:hAnsi="Arial" w:cs="Arial"/>
                <w:lang w:eastAsia="en-GB"/>
              </w:rPr>
            </w:pPr>
            <w:r>
              <w:rPr>
                <w:rFonts w:cs="Arial" w:ascii="Arial" w:hAnsi="Arial"/>
                <w:lang w:eastAsia="en-GB"/>
              </w:rPr>
              <w:t xml:space="preserve">Ability to communicate complex information effectively in writing and orally with a variety of different audiences. </w:t>
            </w:r>
          </w:p>
        </w:tc>
        <w:tc>
          <w:tcPr>
            <w:tcW w:w="3579" w:type="dxa"/>
            <w:tcBorders>
              <w:bottom w:val="single" w:sz="4" w:space="0" w:color="000000"/>
            </w:tcBorders>
          </w:tcPr>
          <w:p>
            <w:pPr>
              <w:pStyle w:val="Normal"/>
              <w:spacing w:lineRule="auto" w:line="240"/>
              <w:jc w:val="both"/>
              <w:rPr>
                <w:rFonts w:ascii="Arial" w:hAnsi="Arial" w:cs="Arial"/>
                <w:lang w:eastAsia="en-GB"/>
              </w:rPr>
            </w:pPr>
            <w:r>
              <w:rPr>
                <w:rFonts w:cs="Arial" w:ascii="Arial" w:hAnsi="Arial"/>
                <w:lang w:eastAsia="en-GB"/>
              </w:rPr>
              <w:t>Interview/Test</w:t>
            </w:r>
          </w:p>
          <w:p>
            <w:pPr>
              <w:pStyle w:val="Normal"/>
              <w:spacing w:before="120" w:after="120"/>
              <w:rPr>
                <w:rFonts w:ascii="Arial" w:hAnsi="Arial" w:cs="Arial"/>
              </w:rPr>
            </w:pPr>
            <w:r>
              <w:rPr>
                <w:rFonts w:cs="Arial" w:ascii="Arial" w:hAnsi="Arial"/>
              </w:rPr>
            </w:r>
          </w:p>
        </w:tc>
      </w:tr>
      <w:tr>
        <w:trPr>
          <w:cantSplit w:val="true"/>
        </w:trPr>
        <w:tc>
          <w:tcPr>
            <w:tcW w:w="675" w:type="dxa"/>
            <w:tcBorders>
              <w:bottom w:val="single" w:sz="4" w:space="0" w:color="000000"/>
            </w:tcBorders>
          </w:tcPr>
          <w:p>
            <w:pPr>
              <w:pStyle w:val="Normal"/>
              <w:spacing w:before="120" w:after="120"/>
              <w:rPr>
                <w:rFonts w:ascii="Arial" w:hAnsi="Arial" w:cs="Arial"/>
              </w:rPr>
            </w:pPr>
            <w:r>
              <w:rPr>
                <w:rFonts w:cs="Arial" w:ascii="Arial" w:hAnsi="Arial"/>
              </w:rPr>
              <w:t>9.</w:t>
            </w:r>
          </w:p>
        </w:tc>
        <w:tc>
          <w:tcPr>
            <w:tcW w:w="5811" w:type="dxa"/>
            <w:gridSpan w:val="4"/>
            <w:tcBorders>
              <w:bottom w:val="single" w:sz="4" w:space="0" w:color="000000"/>
            </w:tcBorders>
          </w:tcPr>
          <w:p>
            <w:pPr>
              <w:pStyle w:val="Normal"/>
              <w:spacing w:before="120" w:after="120"/>
              <w:ind w:right="175"/>
              <w:rPr>
                <w:rFonts w:ascii="Arial" w:hAnsi="Arial" w:cs="Arial"/>
                <w:lang w:eastAsia="en-GB"/>
              </w:rPr>
            </w:pPr>
            <w:r>
              <w:rPr>
                <w:rFonts w:cs="Arial" w:ascii="Arial" w:hAnsi="Arial"/>
                <w:lang w:eastAsia="en-GB"/>
              </w:rPr>
              <w:t>Evidence of a good level of literacy and numeracy including the ability to understand complex documentation.</w:t>
            </w:r>
          </w:p>
        </w:tc>
        <w:tc>
          <w:tcPr>
            <w:tcW w:w="3579" w:type="dxa"/>
            <w:tcBorders>
              <w:bottom w:val="single" w:sz="4" w:space="0" w:color="000000"/>
            </w:tcBorders>
          </w:tcPr>
          <w:p>
            <w:pPr>
              <w:pStyle w:val="Normal"/>
              <w:spacing w:lineRule="auto" w:line="240"/>
              <w:jc w:val="both"/>
              <w:rPr>
                <w:rFonts w:ascii="Arial" w:hAnsi="Arial" w:cs="Arial"/>
                <w:lang w:eastAsia="en-GB"/>
              </w:rPr>
            </w:pPr>
            <w:r>
              <w:rPr>
                <w:rFonts w:cs="Arial" w:ascii="Arial" w:hAnsi="Arial"/>
                <w:lang w:eastAsia="en-GB"/>
              </w:rPr>
              <w:t>Application/Test</w:t>
            </w:r>
          </w:p>
          <w:p>
            <w:pPr>
              <w:pStyle w:val="Normal"/>
              <w:spacing w:before="120" w:after="120"/>
              <w:rPr>
                <w:rFonts w:ascii="Arial" w:hAnsi="Arial" w:cs="Arial"/>
              </w:rPr>
            </w:pPr>
            <w:r>
              <w:rPr>
                <w:rFonts w:cs="Arial" w:ascii="Arial" w:hAnsi="Arial"/>
              </w:rPr>
            </w:r>
          </w:p>
        </w:tc>
      </w:tr>
      <w:tr>
        <w:trPr>
          <w:cantSplit w:val="true"/>
        </w:trPr>
        <w:tc>
          <w:tcPr>
            <w:tcW w:w="675" w:type="dxa"/>
            <w:tcBorders>
              <w:bottom w:val="single" w:sz="4" w:space="0" w:color="000000"/>
            </w:tcBorders>
          </w:tcPr>
          <w:p>
            <w:pPr>
              <w:pStyle w:val="Normal"/>
              <w:spacing w:before="120" w:after="120"/>
              <w:rPr>
                <w:rFonts w:ascii="Arial" w:hAnsi="Arial" w:cs="Arial"/>
              </w:rPr>
            </w:pPr>
            <w:r>
              <w:rPr>
                <w:rFonts w:cs="Arial" w:ascii="Arial" w:hAnsi="Arial"/>
              </w:rPr>
              <w:t>10.</w:t>
            </w:r>
          </w:p>
        </w:tc>
        <w:tc>
          <w:tcPr>
            <w:tcW w:w="5811" w:type="dxa"/>
            <w:gridSpan w:val="4"/>
            <w:tcBorders>
              <w:bottom w:val="single" w:sz="4" w:space="0" w:color="000000"/>
            </w:tcBorders>
          </w:tcPr>
          <w:p>
            <w:pPr>
              <w:pStyle w:val="Normal"/>
              <w:spacing w:before="120" w:after="120"/>
              <w:ind w:right="175"/>
              <w:rPr>
                <w:rFonts w:ascii="Arial" w:hAnsi="Arial" w:cs="Arial"/>
                <w:lang w:eastAsia="en-GB"/>
              </w:rPr>
            </w:pPr>
            <w:r>
              <w:rPr>
                <w:rFonts w:cs="Arial" w:ascii="Arial" w:hAnsi="Arial"/>
                <w:lang w:eastAsia="en-GB"/>
              </w:rPr>
              <w:t>Ability to work as a member of a team and project groups.</w:t>
            </w:r>
          </w:p>
        </w:tc>
        <w:tc>
          <w:tcPr>
            <w:tcW w:w="3579" w:type="dxa"/>
            <w:tcBorders>
              <w:bottom w:val="single" w:sz="4" w:space="0" w:color="000000"/>
            </w:tcBorders>
          </w:tcPr>
          <w:p>
            <w:pPr>
              <w:pStyle w:val="Normal"/>
              <w:spacing w:lineRule="auto" w:line="240"/>
              <w:jc w:val="both"/>
              <w:rPr>
                <w:rFonts w:ascii="Arial" w:hAnsi="Arial" w:cs="Arial"/>
                <w:lang w:eastAsia="en-GB"/>
              </w:rPr>
            </w:pPr>
            <w:r>
              <w:rPr>
                <w:rFonts w:cs="Arial" w:ascii="Arial" w:hAnsi="Arial"/>
                <w:lang w:eastAsia="en-GB"/>
              </w:rPr>
              <w:t>Interview</w:t>
            </w:r>
          </w:p>
          <w:p>
            <w:pPr>
              <w:pStyle w:val="Normal"/>
              <w:spacing w:before="120" w:after="120"/>
              <w:rPr>
                <w:rFonts w:ascii="Arial" w:hAnsi="Arial" w:cs="Arial"/>
              </w:rPr>
            </w:pPr>
            <w:r>
              <w:rPr>
                <w:rFonts w:cs="Arial" w:ascii="Arial" w:hAnsi="Arial"/>
              </w:rPr>
            </w:r>
          </w:p>
        </w:tc>
      </w:tr>
      <w:tr>
        <w:trPr>
          <w:cantSplit w:val="true"/>
        </w:trPr>
        <w:tc>
          <w:tcPr>
            <w:tcW w:w="675" w:type="dxa"/>
            <w:tcBorders>
              <w:bottom w:val="single" w:sz="4" w:space="0" w:color="000000"/>
            </w:tcBorders>
          </w:tcPr>
          <w:p>
            <w:pPr>
              <w:pStyle w:val="Normal"/>
              <w:spacing w:before="120" w:after="120"/>
              <w:rPr>
                <w:rFonts w:ascii="Arial" w:hAnsi="Arial" w:cs="Arial"/>
              </w:rPr>
            </w:pPr>
            <w:r>
              <w:rPr>
                <w:rFonts w:cs="Arial" w:ascii="Arial" w:hAnsi="Arial"/>
              </w:rPr>
              <w:t>11.</w:t>
            </w:r>
          </w:p>
        </w:tc>
        <w:tc>
          <w:tcPr>
            <w:tcW w:w="5811" w:type="dxa"/>
            <w:gridSpan w:val="4"/>
            <w:tcBorders>
              <w:bottom w:val="single" w:sz="4" w:space="0" w:color="000000"/>
            </w:tcBorders>
          </w:tcPr>
          <w:p>
            <w:pPr>
              <w:pStyle w:val="Normal"/>
              <w:spacing w:before="120" w:after="120"/>
              <w:ind w:right="175"/>
              <w:rPr>
                <w:rFonts w:ascii="Arial" w:hAnsi="Arial" w:cs="Arial"/>
                <w:lang w:eastAsia="en-GB"/>
              </w:rPr>
            </w:pPr>
            <w:r>
              <w:rPr>
                <w:rFonts w:cs="Arial" w:ascii="Arial" w:hAnsi="Arial"/>
                <w:lang w:eastAsia="en-GB"/>
              </w:rPr>
              <w:t>Excellent IT skills including word processing, spreadsheets, databases, email, internet browsers and business specific ICT systems.</w:t>
            </w:r>
          </w:p>
        </w:tc>
        <w:tc>
          <w:tcPr>
            <w:tcW w:w="3579" w:type="dxa"/>
            <w:tcBorders>
              <w:bottom w:val="single" w:sz="4" w:space="0" w:color="000000"/>
            </w:tcBorders>
          </w:tcPr>
          <w:p>
            <w:pPr>
              <w:pStyle w:val="Normal"/>
              <w:spacing w:before="120" w:after="120"/>
              <w:rPr>
                <w:rFonts w:ascii="Arial" w:hAnsi="Arial" w:cs="Arial"/>
              </w:rPr>
            </w:pPr>
            <w:r>
              <w:rPr>
                <w:rFonts w:cs="Arial" w:ascii="Arial" w:hAnsi="Arial"/>
              </w:rPr>
              <w:t>Application/Test</w:t>
            </w:r>
          </w:p>
        </w:tc>
      </w:tr>
      <w:tr>
        <w:trPr>
          <w:cantSplit w:val="true"/>
        </w:trPr>
        <w:tc>
          <w:tcPr>
            <w:tcW w:w="675" w:type="dxa"/>
            <w:tcBorders>
              <w:bottom w:val="single" w:sz="4" w:space="0" w:color="000000"/>
            </w:tcBorders>
          </w:tcPr>
          <w:p>
            <w:pPr>
              <w:pStyle w:val="Normal"/>
              <w:spacing w:before="120" w:after="120"/>
              <w:rPr>
                <w:rFonts w:ascii="Arial" w:hAnsi="Arial" w:cs="Arial"/>
              </w:rPr>
            </w:pPr>
            <w:r>
              <w:rPr>
                <w:rFonts w:cs="Arial" w:ascii="Arial" w:hAnsi="Arial"/>
              </w:rPr>
              <w:t>12.</w:t>
            </w:r>
          </w:p>
        </w:tc>
        <w:tc>
          <w:tcPr>
            <w:tcW w:w="5811" w:type="dxa"/>
            <w:gridSpan w:val="4"/>
            <w:tcBorders>
              <w:bottom w:val="single" w:sz="4" w:space="0" w:color="000000"/>
            </w:tcBorders>
          </w:tcPr>
          <w:p>
            <w:pPr>
              <w:pStyle w:val="Normal"/>
              <w:spacing w:before="120" w:after="120"/>
              <w:ind w:right="175"/>
              <w:rPr/>
            </w:pPr>
            <w:r>
              <w:rPr>
                <w:rFonts w:cs="Arial" w:ascii="Arial" w:hAnsi="Arial"/>
                <w:b/>
              </w:rPr>
              <w:t>Competencies</w:t>
            </w:r>
            <w:r>
              <w:rPr>
                <w:rFonts w:cs="Arial" w:ascii="Arial" w:hAnsi="Arial"/>
              </w:rPr>
              <w:t xml:space="preserve"> – Please note the council’s corporate competencies, which are considered to be essential for all roles, are in the attached CORE COMPETENCIES document</w:t>
            </w:r>
          </w:p>
        </w:tc>
        <w:tc>
          <w:tcPr>
            <w:tcW w:w="3579" w:type="dxa"/>
            <w:tcBorders>
              <w:bottom w:val="single" w:sz="4" w:space="0" w:color="000000"/>
            </w:tcBorders>
          </w:tcPr>
          <w:p>
            <w:pPr>
              <w:pStyle w:val="Normal"/>
              <w:spacing w:before="120" w:after="120"/>
              <w:rPr>
                <w:rFonts w:ascii="Arial" w:hAnsi="Arial" w:cs="Arial"/>
              </w:rPr>
            </w:pPr>
            <w:r>
              <w:rPr>
                <w:rFonts w:cs="Arial" w:ascii="Arial" w:hAnsi="Arial"/>
              </w:rPr>
              <w:t>Interview</w:t>
            </w:r>
          </w:p>
        </w:tc>
      </w:tr>
      <w:tr>
        <w:trPr>
          <w:cantSplit w:val="true"/>
        </w:trPr>
        <w:tc>
          <w:tcPr>
            <w:tcW w:w="10065" w:type="dxa"/>
            <w:gridSpan w:val="6"/>
            <w:tcBorders>
              <w:top w:val="single" w:sz="4" w:space="0" w:color="000000"/>
              <w:left w:val="single" w:sz="4" w:space="0" w:color="000000"/>
              <w:bottom w:val="single" w:sz="4" w:space="0" w:color="000000"/>
              <w:right w:val="single" w:sz="4" w:space="0" w:color="000000"/>
            </w:tcBorders>
            <w:shd w:fill="D9D9D9" w:val="clear"/>
          </w:tcPr>
          <w:p>
            <w:pPr>
              <w:pStyle w:val="Normal"/>
              <w:spacing w:before="60" w:after="60"/>
              <w:rPr>
                <w:rFonts w:ascii="Arial" w:hAnsi="Arial" w:cs="Arial"/>
                <w:b/>
              </w:rPr>
            </w:pPr>
            <w:r>
              <w:rPr>
                <w:rFonts w:cs="Arial" w:ascii="Arial" w:hAnsi="Arial"/>
                <w:b/>
              </w:rPr>
              <w:t>2.</w:t>
              <w:tab/>
              <w:t>Experience/Qualifications/Training etc</w:t>
            </w:r>
          </w:p>
        </w:tc>
      </w:tr>
      <w:tr>
        <w:trPr>
          <w:cantSplit w:val="true"/>
        </w:trPr>
        <w:tc>
          <w:tcPr>
            <w:tcW w:w="708" w:type="dxa"/>
            <w:gridSpan w:val="2"/>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1.</w:t>
            </w:r>
          </w:p>
        </w:tc>
        <w:tc>
          <w:tcPr>
            <w:tcW w:w="5759" w:type="dxa"/>
            <w:gridSpan w:val="2"/>
            <w:tcBorders>
              <w:top w:val="single" w:sz="4" w:space="0" w:color="000000"/>
              <w:bottom w:val="single" w:sz="4" w:space="0" w:color="000000"/>
            </w:tcBorders>
          </w:tcPr>
          <w:p>
            <w:pPr>
              <w:pStyle w:val="Normal"/>
              <w:spacing w:before="120" w:after="120"/>
              <w:rPr>
                <w:rFonts w:ascii="Arial" w:hAnsi="Arial" w:cs="Arial"/>
                <w:bCs/>
              </w:rPr>
            </w:pPr>
            <w:r>
              <w:rPr>
                <w:rFonts w:cs="Arial" w:ascii="Arial" w:hAnsi="Arial"/>
                <w:bCs/>
              </w:rPr>
              <w:t xml:space="preserve">Experience of quality assurance, improvement or contract management in a health or social care environment OR experience of working in a health or social care environment. </w:t>
            </w:r>
          </w:p>
        </w:tc>
        <w:tc>
          <w:tcPr>
            <w:tcW w:w="3598" w:type="dxa"/>
            <w:gridSpan w:val="2"/>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Application</w:t>
            </w:r>
          </w:p>
        </w:tc>
      </w:tr>
      <w:tr>
        <w:trPr>
          <w:cantSplit w:val="true"/>
        </w:trPr>
        <w:tc>
          <w:tcPr>
            <w:tcW w:w="708" w:type="dxa"/>
            <w:gridSpan w:val="2"/>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2.</w:t>
            </w:r>
          </w:p>
        </w:tc>
        <w:tc>
          <w:tcPr>
            <w:tcW w:w="5759" w:type="dxa"/>
            <w:gridSpan w:val="2"/>
            <w:tcBorders>
              <w:top w:val="single" w:sz="4" w:space="0" w:color="000000"/>
              <w:bottom w:val="single" w:sz="4" w:space="0" w:color="000000"/>
            </w:tcBorders>
            <w:vAlign w:val="center"/>
          </w:tcPr>
          <w:p>
            <w:pPr>
              <w:pStyle w:val="Normal"/>
              <w:spacing w:before="120" w:after="120"/>
              <w:rPr>
                <w:rFonts w:ascii="Arial" w:hAnsi="Arial" w:cs="Arial"/>
              </w:rPr>
            </w:pPr>
            <w:r>
              <w:rPr>
                <w:rFonts w:cs="Arial" w:ascii="Arial" w:hAnsi="Arial"/>
              </w:rPr>
              <w:t xml:space="preserve">Experience of working with other organisations to deliver improvements that lead to positive outcomes for people.  </w:t>
            </w:r>
          </w:p>
        </w:tc>
        <w:tc>
          <w:tcPr>
            <w:tcW w:w="3598" w:type="dxa"/>
            <w:gridSpan w:val="2"/>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Interview</w:t>
            </w:r>
          </w:p>
        </w:tc>
      </w:tr>
      <w:tr>
        <w:trPr>
          <w:cantSplit w:val="true"/>
        </w:trPr>
        <w:tc>
          <w:tcPr>
            <w:tcW w:w="10065" w:type="dxa"/>
            <w:gridSpan w:val="6"/>
            <w:tcBorders>
              <w:top w:val="single" w:sz="4" w:space="0" w:color="000000"/>
              <w:left w:val="single" w:sz="4" w:space="0" w:color="000000"/>
              <w:bottom w:val="single" w:sz="4" w:space="0" w:color="000000"/>
              <w:right w:val="single" w:sz="4" w:space="0" w:color="000000"/>
            </w:tcBorders>
            <w:shd w:fill="D9D9D9" w:val="clear"/>
          </w:tcPr>
          <w:p>
            <w:pPr>
              <w:pStyle w:val="Normal"/>
              <w:spacing w:before="60" w:after="60"/>
              <w:rPr>
                <w:rFonts w:ascii="Arial" w:hAnsi="Arial" w:cs="Arial"/>
                <w:b/>
              </w:rPr>
            </w:pPr>
            <w:r>
              <w:rPr>
                <w:rFonts w:cs="Arial" w:ascii="Arial" w:hAnsi="Arial"/>
                <w:b/>
              </w:rPr>
              <w:t>3.</w:t>
              <w:tab/>
              <w:t>Work Related Circumstances</w:t>
            </w:r>
          </w:p>
        </w:tc>
      </w:tr>
      <w:tr>
        <w:trPr>
          <w:cantSplit w:val="true"/>
        </w:trPr>
        <w:tc>
          <w:tcPr>
            <w:tcW w:w="708" w:type="dxa"/>
            <w:gridSpan w:val="2"/>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1.</w:t>
            </w:r>
          </w:p>
        </w:tc>
        <w:tc>
          <w:tcPr>
            <w:tcW w:w="5759" w:type="dxa"/>
            <w:gridSpan w:val="2"/>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All posts require the job holder to undertake mandatory training for the role and to regularly review their developmental needs in conjunction with their line manager. Development of our employees plays a key role in delivering our services</w:t>
            </w:r>
          </w:p>
        </w:tc>
        <w:tc>
          <w:tcPr>
            <w:tcW w:w="3598" w:type="dxa"/>
            <w:gridSpan w:val="2"/>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Interview</w:t>
            </w:r>
          </w:p>
        </w:tc>
      </w:tr>
      <w:tr>
        <w:trPr>
          <w:cantSplit w:val="true"/>
        </w:trPr>
        <w:tc>
          <w:tcPr>
            <w:tcW w:w="708" w:type="dxa"/>
            <w:gridSpan w:val="2"/>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2.</w:t>
            </w:r>
          </w:p>
        </w:tc>
        <w:tc>
          <w:tcPr>
            <w:tcW w:w="5759" w:type="dxa"/>
            <w:gridSpan w:val="2"/>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The Council has a framework of Values &amp; Behaviours that guide our behaviour and decision making to help achieve our vision.  All employees are expected to be mindful of these when undertaking their work</w:t>
            </w:r>
          </w:p>
        </w:tc>
        <w:tc>
          <w:tcPr>
            <w:tcW w:w="3598" w:type="dxa"/>
            <w:gridSpan w:val="2"/>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Interview</w:t>
            </w:r>
          </w:p>
        </w:tc>
      </w:tr>
      <w:tr>
        <w:trPr>
          <w:cantSplit w:val="true"/>
        </w:trPr>
        <w:tc>
          <w:tcPr>
            <w:tcW w:w="708" w:type="dxa"/>
            <w:gridSpan w:val="2"/>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3.</w:t>
            </w:r>
          </w:p>
        </w:tc>
        <w:tc>
          <w:tcPr>
            <w:tcW w:w="5759" w:type="dxa"/>
            <w:gridSpan w:val="2"/>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This role requires the job holder to work outside of normal office hours, for example at evenings and weekends, to meet the needs of the service.</w:t>
            </w:r>
          </w:p>
        </w:tc>
        <w:tc>
          <w:tcPr>
            <w:tcW w:w="3598" w:type="dxa"/>
            <w:gridSpan w:val="2"/>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Interview</w:t>
            </w:r>
          </w:p>
        </w:tc>
      </w:tr>
      <w:tr>
        <w:trPr>
          <w:cantSplit w:val="true"/>
        </w:trPr>
        <w:tc>
          <w:tcPr>
            <w:tcW w:w="708" w:type="dxa"/>
            <w:gridSpan w:val="2"/>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4.</w:t>
            </w:r>
          </w:p>
        </w:tc>
        <w:tc>
          <w:tcPr>
            <w:tcW w:w="5759" w:type="dxa"/>
            <w:gridSpan w:val="2"/>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 xml:space="preserve">The role involves regular travel to visit providers within Bolton and occasionally to other areas.  </w:t>
            </w:r>
          </w:p>
        </w:tc>
        <w:tc>
          <w:tcPr>
            <w:tcW w:w="3598" w:type="dxa"/>
            <w:gridSpan w:val="2"/>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Application</w:t>
            </w:r>
            <w:bookmarkStart w:id="2" w:name="_Hlk110594228"/>
            <w:bookmarkEnd w:id="2"/>
          </w:p>
        </w:tc>
      </w:tr>
    </w:tbl>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tbl>
      <w:tblPr>
        <w:tblW w:w="10065" w:type="dxa"/>
        <w:jc w:val="left"/>
        <w:tblInd w:w="108" w:type="dxa"/>
        <w:tblLayout w:type="fixed"/>
        <w:tblCellMar>
          <w:top w:w="0" w:type="dxa"/>
          <w:left w:w="108" w:type="dxa"/>
          <w:bottom w:w="0" w:type="dxa"/>
          <w:right w:w="108" w:type="dxa"/>
        </w:tblCellMar>
      </w:tblPr>
      <w:tblGrid>
        <w:gridCol w:w="675"/>
        <w:gridCol w:w="1134"/>
        <w:gridCol w:w="4002"/>
        <w:gridCol w:w="678"/>
        <w:gridCol w:w="3576"/>
      </w:tblGrid>
      <w:tr>
        <w:trPr>
          <w:trHeight w:val="653" w:hRule="atLeast"/>
        </w:trPr>
        <w:tc>
          <w:tcPr>
            <w:tcW w:w="1809"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STAGE TWO</w:t>
            </w:r>
          </w:p>
        </w:tc>
        <w:tc>
          <w:tcPr>
            <w:tcW w:w="8256"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Will only be used in the event of a large number of applicants meeting the minimum essential requirements</w:t>
            </w:r>
          </w:p>
        </w:tc>
      </w:tr>
      <w:tr>
        <w:trPr/>
        <w:tc>
          <w:tcPr>
            <w:tcW w:w="6489" w:type="dxa"/>
            <w:gridSpan w:val="4"/>
            <w:tcBorders>
              <w:top w:val="single" w:sz="4" w:space="0" w:color="000000"/>
              <w:left w:val="single" w:sz="4" w:space="0" w:color="000000"/>
              <w:bottom w:val="single" w:sz="4" w:space="0" w:color="000000"/>
              <w:right w:val="single" w:sz="4" w:space="0" w:color="000000"/>
            </w:tcBorders>
            <w:shd w:fill="0A0A0A" w:val="clear"/>
          </w:tcPr>
          <w:p>
            <w:pPr>
              <w:pStyle w:val="Normal"/>
              <w:spacing w:lineRule="auto" w:line="240" w:before="120" w:after="120"/>
              <w:rPr>
                <w:rFonts w:ascii="Arial" w:hAnsi="Arial" w:cs="Arial"/>
                <w:b/>
                <w:color w:val="FFFFFF"/>
              </w:rPr>
            </w:pPr>
            <w:r>
              <w:rPr>
                <w:rFonts w:cs="Arial" w:ascii="Arial" w:hAnsi="Arial"/>
                <w:b/>
                <w:color w:val="FFFFFF"/>
              </w:rPr>
              <w:t>Additional Requirements</w:t>
            </w:r>
          </w:p>
        </w:tc>
        <w:tc>
          <w:tcPr>
            <w:tcW w:w="3576" w:type="dxa"/>
            <w:tcBorders>
              <w:top w:val="single" w:sz="4" w:space="0" w:color="000000"/>
              <w:left w:val="single" w:sz="4" w:space="0" w:color="000000"/>
              <w:bottom w:val="single" w:sz="4" w:space="0" w:color="000000"/>
              <w:right w:val="single" w:sz="4" w:space="0" w:color="000000"/>
            </w:tcBorders>
            <w:shd w:fill="0A0A0A" w:val="clear"/>
          </w:tcPr>
          <w:p>
            <w:pPr>
              <w:pStyle w:val="Normal"/>
              <w:spacing w:lineRule="auto" w:line="240" w:before="120" w:after="120"/>
              <w:rPr>
                <w:rFonts w:ascii="Arial" w:hAnsi="Arial" w:cs="Arial"/>
                <w:b/>
                <w:color w:val="FFFFFF"/>
              </w:rPr>
            </w:pPr>
            <w:r>
              <w:rPr>
                <w:rFonts w:cs="Arial" w:ascii="Arial" w:hAnsi="Arial"/>
                <w:b/>
                <w:color w:val="FFFFFF"/>
              </w:rPr>
              <w:t>Method of Assessment</w:t>
            </w:r>
          </w:p>
        </w:tc>
      </w:tr>
      <w:tr>
        <w:trPr>
          <w:cantSplit w:val="true"/>
        </w:trPr>
        <w:tc>
          <w:tcPr>
            <w:tcW w:w="10065" w:type="dxa"/>
            <w:gridSpan w:val="5"/>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rPr>
            </w:pPr>
            <w:r>
              <w:rPr>
                <w:rFonts w:cs="Arial" w:ascii="Arial" w:hAnsi="Arial"/>
                <w:b/>
              </w:rPr>
              <w:t>1.</w:t>
              <w:tab/>
              <w:t>Skills and Knowledge</w:t>
            </w:r>
          </w:p>
        </w:tc>
      </w:tr>
      <w:tr>
        <w:trPr>
          <w:cantSplit w:val="true"/>
        </w:trPr>
        <w:tc>
          <w:tcPr>
            <w:tcW w:w="10065" w:type="dxa"/>
            <w:gridSpan w:val="5"/>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rPr>
            </w:pPr>
            <w:r>
              <w:rPr>
                <w:rFonts w:cs="Arial" w:ascii="Arial" w:hAnsi="Arial"/>
                <w:b/>
              </w:rPr>
              <w:t>2.</w:t>
              <w:tab/>
              <w:t>Experience/Qualifications/Training etc</w:t>
            </w:r>
          </w:p>
        </w:tc>
      </w:tr>
      <w:tr>
        <w:trPr>
          <w:cantSplit w:val="true"/>
        </w:trPr>
        <w:tc>
          <w:tcPr>
            <w:tcW w:w="675"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1.</w:t>
            </w:r>
          </w:p>
        </w:tc>
        <w:tc>
          <w:tcPr>
            <w:tcW w:w="5814" w:type="dxa"/>
            <w:gridSpan w:val="3"/>
            <w:tcBorders>
              <w:top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Recognised quality improvement training/qualification e.g. Lean, Six Sigma</w:t>
            </w:r>
          </w:p>
        </w:tc>
        <w:tc>
          <w:tcPr>
            <w:tcW w:w="3576" w:type="dxa"/>
            <w:tcBorders>
              <w:top w:val="single" w:sz="4" w:space="0" w:color="000000"/>
              <w:left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Application</w:t>
            </w:r>
          </w:p>
        </w:tc>
      </w:tr>
      <w:tr>
        <w:trPr/>
        <w:tc>
          <w:tcPr>
            <w:tcW w:w="5811" w:type="dxa"/>
            <w:gridSpan w:val="3"/>
            <w:tcBorders/>
          </w:tcPr>
          <w:p>
            <w:pPr>
              <w:pStyle w:val="Normal"/>
              <w:spacing w:lineRule="auto" w:line="240" w:before="0" w:after="0"/>
              <w:rPr>
                <w:rFonts w:ascii="Arial" w:hAnsi="Arial" w:cs="Arial"/>
                <w:b/>
              </w:rPr>
            </w:pPr>
            <w:r>
              <w:rPr>
                <w:rFonts w:cs="Arial" w:ascii="Arial" w:hAnsi="Arial"/>
                <w:b/>
              </w:rPr>
              <w:t>Date Person Specification updated</w:t>
            </w:r>
          </w:p>
        </w:tc>
        <w:tc>
          <w:tcPr>
            <w:tcW w:w="4254" w:type="dxa"/>
            <w:gridSpan w:val="2"/>
            <w:tcBorders/>
          </w:tcPr>
          <w:p>
            <w:pPr>
              <w:pStyle w:val="Normal"/>
              <w:spacing w:lineRule="auto" w:line="240" w:before="0" w:after="0"/>
              <w:rPr>
                <w:rFonts w:ascii="Arial" w:hAnsi="Arial" w:cs="Arial"/>
                <w:b/>
              </w:rPr>
            </w:pPr>
            <w:r>
              <w:rPr>
                <w:rFonts w:cs="Arial" w:ascii="Arial" w:hAnsi="Arial"/>
                <w:b/>
              </w:rPr>
              <w:t>August 2022</w:t>
            </w:r>
          </w:p>
        </w:tc>
      </w:tr>
      <w:tr>
        <w:trPr/>
        <w:tc>
          <w:tcPr>
            <w:tcW w:w="5811" w:type="dxa"/>
            <w:gridSpan w:val="3"/>
            <w:tcBorders/>
          </w:tcPr>
          <w:p>
            <w:pPr>
              <w:pStyle w:val="Normal"/>
              <w:spacing w:lineRule="auto" w:line="240" w:before="0" w:after="0"/>
              <w:rPr>
                <w:rFonts w:ascii="Arial" w:hAnsi="Arial" w:cs="Arial"/>
                <w:b/>
              </w:rPr>
            </w:pPr>
            <w:r>
              <w:rPr>
                <w:rFonts w:cs="Arial" w:ascii="Arial" w:hAnsi="Arial"/>
                <w:b/>
              </w:rPr>
              <w:t>Person Specification Updated by</w:t>
            </w:r>
          </w:p>
        </w:tc>
        <w:tc>
          <w:tcPr>
            <w:tcW w:w="4254" w:type="dxa"/>
            <w:gridSpan w:val="2"/>
            <w:tcBorders/>
          </w:tcPr>
          <w:p>
            <w:pPr>
              <w:pStyle w:val="Normal"/>
              <w:spacing w:lineRule="auto" w:line="240" w:before="0" w:after="0"/>
              <w:rPr>
                <w:rFonts w:ascii="Arial" w:hAnsi="Arial" w:cs="Arial"/>
                <w:b/>
              </w:rPr>
            </w:pPr>
            <w:r>
              <w:rPr>
                <w:rFonts w:cs="Arial" w:ascii="Arial" w:hAnsi="Arial"/>
                <w:b/>
              </w:rPr>
              <w:t xml:space="preserve">Amanda Symes, Head of Quality Assurance and Improvement </w:t>
            </w:r>
          </w:p>
        </w:tc>
      </w:tr>
    </w:tbl>
    <w:p>
      <w:pPr>
        <w:pStyle w:val="Normal"/>
        <w:spacing w:lineRule="auto" w:line="240" w:before="0" w:after="0"/>
        <w:rPr>
          <w:rFonts w:ascii="Arial" w:hAnsi="Arial" w:cs="Arial"/>
          <w:b/>
        </w:rPr>
      </w:pPr>
      <w:r>
        <w:rPr>
          <w:rFonts w:cs="Arial" w:ascii="Arial" w:hAnsi="Arial"/>
          <w:b/>
        </w:rPr>
      </w:r>
    </w:p>
    <w:p>
      <w:pPr>
        <w:pStyle w:val="Normal"/>
        <w:spacing w:lineRule="auto" w:line="256" w:before="0" w:after="160"/>
        <w:rPr>
          <w:rFonts w:ascii="Arial" w:hAnsi="Arial" w:cs="Arial"/>
          <w:b/>
        </w:rPr>
      </w:pPr>
      <w:r>
        <w:rPr>
          <w:rFonts w:cs="Arial" w:ascii="Arial" w:hAnsi="Arial"/>
          <w:b/>
        </w:rPr>
      </w:r>
      <w:r>
        <w:br w:type="page"/>
      </w:r>
    </w:p>
    <w:p>
      <w:pPr>
        <w:pStyle w:val="Normal"/>
        <w:spacing w:lineRule="auto" w:line="240" w:before="0" w:after="0"/>
        <w:rPr>
          <w:rFonts w:ascii="Arial" w:hAnsi="Arial" w:cs="Arial"/>
          <w:b/>
        </w:rPr>
      </w:pPr>
      <w:r>
        <w:rPr>
          <w:rFonts w:cs="Arial" w:ascii="Arial" w:hAnsi="Arial"/>
          <w:b/>
        </w:rPr>
        <w:t>These core competencies are considered essential for all roles within Bolton Council. Please be prepared to be assessed on any of these during the interview process and, for the successful applicant, throughout the probationary period.</w:t>
      </w:r>
    </w:p>
    <w:p>
      <w:pPr>
        <w:pStyle w:val="Normal"/>
        <w:keepLines/>
        <w:spacing w:lineRule="auto" w:line="240" w:before="0" w:after="0"/>
        <w:rPr>
          <w:rFonts w:ascii="Arial" w:hAnsi="Arial" w:cs="Arial"/>
          <w:b/>
        </w:rPr>
      </w:pPr>
      <w:r>
        <w:rPr>
          <w:rFonts w:cs="Arial" w:ascii="Arial" w:hAnsi="Arial"/>
          <w:b/>
        </w:rPr>
      </w:r>
    </w:p>
    <w:p>
      <w:pPr>
        <w:pStyle w:val="Normal"/>
        <w:keepLines/>
        <w:spacing w:lineRule="auto" w:line="240" w:before="0" w:after="0"/>
        <w:rPr>
          <w:rFonts w:ascii="Arial" w:hAnsi="Arial" w:cs="Arial"/>
          <w:b/>
        </w:rPr>
      </w:pPr>
      <w:r>
        <w:rPr>
          <w:rFonts w:cs="Arial" w:ascii="Arial" w:hAnsi="Arial"/>
          <w:b/>
        </w:rPr>
        <w:t>Developing Self &amp; Others</w:t>
      </w:r>
    </w:p>
    <w:p>
      <w:pPr>
        <w:pStyle w:val="Normal"/>
        <w:spacing w:lineRule="auto" w:line="240" w:before="0" w:after="0"/>
        <w:rPr>
          <w:rFonts w:ascii="Arial" w:hAnsi="Arial" w:cs="Arial"/>
        </w:rPr>
      </w:pPr>
      <w:r>
        <w:rPr>
          <w:rFonts w:cs="Arial" w:ascii="Arial" w:hAnsi="Arial"/>
        </w:rPr>
        <w:t>Promote a learning environment to embed a learning culture.  Support others to develop their skills and knowledge to fulfil their potential. Actively pursue your own development. Support and promote the principles of Investors in People. </w:t>
      </w:r>
    </w:p>
    <w:p>
      <w:pPr>
        <w:pStyle w:val="Normal"/>
        <w:keepLines/>
        <w:spacing w:lineRule="auto" w:line="240" w:before="0" w:after="0"/>
        <w:rPr>
          <w:rFonts w:ascii="Arial" w:hAnsi="Arial" w:cs="Arial"/>
        </w:rPr>
      </w:pPr>
      <w:r>
        <w:rPr>
          <w:rFonts w:cs="Arial" w:ascii="Arial" w:hAnsi="Arial"/>
        </w:rPr>
      </w:r>
    </w:p>
    <w:p>
      <w:pPr>
        <w:pStyle w:val="Normal"/>
        <w:keepLines/>
        <w:spacing w:lineRule="auto" w:line="240" w:before="0" w:after="0"/>
        <w:rPr>
          <w:rFonts w:ascii="Arial" w:hAnsi="Arial" w:cs="Arial"/>
          <w:b/>
        </w:rPr>
      </w:pPr>
      <w:r>
        <w:rPr>
          <w:rFonts w:cs="Arial" w:ascii="Arial" w:hAnsi="Arial"/>
          <w:b/>
        </w:rPr>
        <w:t>Civil Contingencies</w:t>
      </w:r>
    </w:p>
    <w:p>
      <w:pPr>
        <w:pStyle w:val="Normal"/>
        <w:spacing w:lineRule="auto" w:line="240" w:before="0" w:after="0"/>
        <w:rPr>
          <w:rFonts w:ascii="Arial" w:hAnsi="Arial" w:cs="Arial"/>
        </w:rPr>
      </w:pPr>
      <w:r>
        <w:rPr>
          <w:rFonts w:cs="Arial" w:ascii="Arial" w:hAnsi="Arial"/>
        </w:rPr>
        <w:t>Bolton Council has a statutory duty under the Civil Contingencies Act to respond in the event of an emergency. If Bolton Council’s Emergency Management Plan is activated, you may be required to assist in maintaining key Council services and supporting the community.  This could require working outside of routine working hours and working from places other than your normal place of work.</w:t>
      </w:r>
    </w:p>
    <w:p>
      <w:pPr>
        <w:pStyle w:val="Normal"/>
        <w:keepLines/>
        <w:spacing w:lineRule="auto" w:line="240" w:before="0" w:after="0"/>
        <w:ind w:left="1069" w:right="0"/>
        <w:rPr>
          <w:rFonts w:ascii="Arial" w:hAnsi="Arial" w:cs="Arial"/>
        </w:rPr>
      </w:pPr>
      <w:r>
        <w:rPr>
          <w:rFonts w:cs="Arial" w:ascii="Arial" w:hAnsi="Arial"/>
        </w:rPr>
      </w:r>
    </w:p>
    <w:p>
      <w:pPr>
        <w:pStyle w:val="Normal"/>
        <w:keepLines/>
        <w:spacing w:lineRule="auto" w:line="240" w:before="0" w:after="0"/>
        <w:rPr>
          <w:rFonts w:ascii="Arial" w:hAnsi="Arial" w:cs="Arial"/>
          <w:b/>
        </w:rPr>
      </w:pPr>
      <w:r>
        <w:rPr>
          <w:rFonts w:cs="Arial" w:ascii="Arial" w:hAnsi="Arial"/>
          <w:b/>
        </w:rPr>
        <w:t>Equality &amp; Diversity</w:t>
      </w:r>
    </w:p>
    <w:p>
      <w:pPr>
        <w:pStyle w:val="Normal"/>
        <w:spacing w:lineRule="auto" w:line="240" w:before="0" w:after="0"/>
        <w:rPr>
          <w:rFonts w:ascii="Arial" w:hAnsi="Arial" w:cs="Arial"/>
        </w:rPr>
      </w:pPr>
      <w:r>
        <w:rPr>
          <w:rFonts w:cs="Arial" w:ascii="Arial" w:hAnsi="Arial"/>
        </w:rPr>
        <w:t>Uphold the principles of fairness and the Equality Act in all undertakings as a Bolton Council employee, including providing a fair, accessible service irrespective of customer’s race, religion, gender, sexuality, disability or age.</w:t>
      </w:r>
    </w:p>
    <w:p>
      <w:pPr>
        <w:pStyle w:val="Normal"/>
        <w:keepLines/>
        <w:spacing w:lineRule="auto" w:line="240" w:before="0" w:after="0"/>
        <w:rPr>
          <w:rFonts w:ascii="Arial" w:hAnsi="Arial" w:cs="Arial"/>
        </w:rPr>
      </w:pPr>
      <w:r>
        <w:rPr>
          <w:rFonts w:cs="Arial" w:ascii="Arial" w:hAnsi="Arial"/>
        </w:rPr>
      </w:r>
    </w:p>
    <w:p>
      <w:pPr>
        <w:pStyle w:val="Normal"/>
        <w:keepLines/>
        <w:spacing w:lineRule="auto" w:line="240" w:before="0" w:after="0"/>
        <w:rPr>
          <w:rFonts w:ascii="Arial" w:hAnsi="Arial" w:cs="Arial"/>
          <w:b/>
        </w:rPr>
      </w:pPr>
      <w:r>
        <w:rPr>
          <w:rFonts w:cs="Arial" w:ascii="Arial" w:hAnsi="Arial"/>
          <w:b/>
        </w:rPr>
        <w:t>Customer Care</w:t>
      </w:r>
    </w:p>
    <w:p>
      <w:pPr>
        <w:pStyle w:val="Normal"/>
        <w:spacing w:lineRule="auto" w:line="240" w:before="0" w:after="0"/>
        <w:rPr>
          <w:rFonts w:ascii="Arial" w:hAnsi="Arial" w:cs="Arial"/>
        </w:rPr>
      </w:pPr>
      <w:r>
        <w:rPr>
          <w:rFonts w:cs="Arial" w:ascii="Arial" w:hAnsi="Arial"/>
        </w:rPr>
        <w:t>The ability to fully understand, assess and resolve the needs of all customers including those who present with complex situations, in a manner that respects dignity and expresses a caring &amp; professional image.</w:t>
      </w:r>
    </w:p>
    <w:p>
      <w:pPr>
        <w:pStyle w:val="Normal"/>
        <w:spacing w:lineRule="auto" w:line="240" w:before="0" w:after="0"/>
        <w:rPr>
          <w:rFonts w:ascii="Arial" w:hAnsi="Arial" w:cs="Arial"/>
          <w:color w:val="0000FF"/>
          <w:u w:val="single"/>
        </w:rPr>
      </w:pPr>
      <w:r>
        <w:rPr>
          <w:rFonts w:cs="Arial" w:ascii="Arial" w:hAnsi="Arial"/>
          <w:color w:val="0000FF"/>
          <w:u w:val="single"/>
        </w:rPr>
      </w:r>
    </w:p>
    <w:p>
      <w:pPr>
        <w:pStyle w:val="Normal"/>
        <w:keepLines/>
        <w:spacing w:lineRule="auto" w:line="240" w:before="0" w:after="0"/>
        <w:rPr>
          <w:rFonts w:ascii="Arial" w:hAnsi="Arial" w:cs="Arial"/>
          <w:b/>
        </w:rPr>
      </w:pPr>
      <w:r>
        <w:rPr>
          <w:rFonts w:cs="Arial" w:ascii="Arial" w:hAnsi="Arial"/>
          <w:b/>
        </w:rPr>
        <w:t>Health &amp; Safety</w:t>
      </w:r>
    </w:p>
    <w:p>
      <w:pPr>
        <w:pStyle w:val="Normal"/>
        <w:spacing w:lineRule="auto" w:line="240" w:before="0" w:after="0"/>
        <w:rPr>
          <w:rFonts w:ascii="Arial" w:hAnsi="Arial" w:cs="Arial"/>
        </w:rPr>
      </w:pPr>
      <w:r>
        <w:rPr>
          <w:rFonts w:cs="Arial" w:ascii="Arial" w:hAnsi="Arial"/>
        </w:rPr>
        <w:t>Take responsibility for the health and safety of yourself and others who may be affected by your acts or omissions, and comply with all health and safety legislation, policy and safe working practice, including participating in training activities necessary to your post.</w:t>
      </w:r>
    </w:p>
    <w:p>
      <w:pPr>
        <w:pStyle w:val="Normal"/>
        <w:keepLines/>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Cs/>
        </w:rPr>
      </w:pPr>
      <w:r>
        <w:rPr>
          <w:rFonts w:cs="Arial" w:ascii="Arial" w:hAnsi="Arial"/>
          <w:b/>
          <w:bCs/>
        </w:rPr>
        <w:t>Data Protection and Confidentiality</w:t>
      </w:r>
    </w:p>
    <w:p>
      <w:pPr>
        <w:pStyle w:val="Normal"/>
        <w:spacing w:lineRule="auto" w:line="240" w:before="0" w:after="0"/>
        <w:rPr/>
      </w:pPr>
      <w:r>
        <w:rPr>
          <w:rFonts w:cs="Arial" w:ascii="Arial" w:hAnsi="Arial"/>
        </w:rPr>
        <w:t>Ensure</w:t>
      </w:r>
      <w:r>
        <w:rPr>
          <w:rFonts w:cs="Arial" w:ascii="Arial" w:hAnsi="Arial"/>
          <w:lang w:val="en-US"/>
        </w:rPr>
        <w:t xml:space="preserve"> that any personal data or confidential data you hold is kept securely and is not disclosed, whether electronically, verbally or in writing, to any unauthorised third party. Follow Council policies and procedures on dealing with personal information and information assets, including The Code of Conduct, Data Protection, Acceptable Use and Information Security policies. Personal or confidential data should only be accessed or used for council purposes.</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lang w:val="en-US"/>
        </w:rPr>
      </w:pPr>
      <w:r>
        <w:rPr>
          <w:rFonts w:cs="Arial" w:ascii="Arial" w:hAnsi="Arial"/>
          <w:b/>
          <w:lang w:val="en-US"/>
        </w:rPr>
        <w:t>Fluency Duty</w:t>
      </w:r>
    </w:p>
    <w:p>
      <w:pPr>
        <w:pStyle w:val="Normal"/>
        <w:spacing w:lineRule="auto" w:line="240" w:before="0" w:after="0"/>
        <w:rPr/>
      </w:pPr>
      <w:r>
        <w:rPr>
          <w:rFonts w:cs="Arial" w:ascii="Arial" w:hAnsi="Arial"/>
        </w:rPr>
        <w:t>Should you be required, as a regular and intrinsic part of your role, to speak to members of the public in English, you must be able to converse at ease with customers and provide advice in accurate spoken English, as required by</w:t>
      </w:r>
      <w:r>
        <w:rPr>
          <w:rFonts w:cs="Arial" w:ascii="Arial" w:hAnsi="Arial"/>
          <w:i/>
        </w:rPr>
        <w:t xml:space="preserve"> </w:t>
      </w:r>
      <w:r>
        <w:rPr>
          <w:rFonts w:cs="Arial" w:ascii="Arial" w:hAnsi="Arial"/>
        </w:rPr>
        <w:t>The Immigration Act 2016.</w:t>
      </w:r>
    </w:p>
    <w:p>
      <w:pPr>
        <w:pStyle w:val="Normal"/>
        <w:spacing w:lineRule="auto" w:line="240" w:before="0" w:after="0"/>
        <w:rPr>
          <w:rFonts w:ascii="Arial" w:hAnsi="Arial" w:cs="Arial"/>
          <w:lang w:val="en-US"/>
        </w:rPr>
      </w:pPr>
      <w:r>
        <w:rPr>
          <w:rFonts w:cs="Arial" w:ascii="Arial" w:hAnsi="Arial"/>
          <w:lang w:val="en-US"/>
        </w:rPr>
      </w:r>
    </w:p>
    <w:p>
      <w:pPr>
        <w:pStyle w:val="Normal"/>
        <w:spacing w:lineRule="auto" w:line="240" w:before="0" w:after="0"/>
        <w:rPr>
          <w:rFonts w:ascii="Arial" w:hAnsi="Arial" w:cs="Arial"/>
          <w:b/>
        </w:rPr>
      </w:pPr>
      <w:r>
        <w:rPr>
          <w:rFonts w:cs="Arial" w:ascii="Arial" w:hAnsi="Arial"/>
          <w:b/>
        </w:rPr>
        <w:t>Working Hours</w:t>
      </w:r>
    </w:p>
    <w:p>
      <w:pPr>
        <w:pStyle w:val="Normal"/>
        <w:spacing w:lineRule="auto" w:line="240" w:before="0" w:after="0"/>
        <w:rPr>
          <w:rFonts w:ascii="Arial" w:hAnsi="Arial" w:cs="Arial"/>
        </w:rPr>
      </w:pPr>
      <w:r>
        <w:rPr>
          <w:rFonts w:cs="Arial" w:ascii="Arial" w:hAnsi="Arial"/>
        </w:rPr>
        <w:t>The nature and demands of the role are not always predictable and there will be an expectation that work will be required outside of normal hours from time to time.</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Cs/>
          <w:iCs/>
        </w:rPr>
      </w:pPr>
      <w:r>
        <w:rPr>
          <w:rFonts w:cs="Arial" w:ascii="Arial" w:hAnsi="Arial"/>
          <w:b/>
          <w:bCs/>
          <w:iCs/>
        </w:rPr>
        <w:t>Safeguarding</w:t>
      </w:r>
    </w:p>
    <w:p>
      <w:pPr>
        <w:pStyle w:val="Normal"/>
        <w:rPr>
          <w:rFonts w:ascii="Arial" w:hAnsi="Arial" w:cs="Arial"/>
          <w:bCs/>
          <w:iCs/>
        </w:rPr>
      </w:pPr>
      <w:r>
        <w:rPr>
          <w:rFonts w:cs="Arial" w:ascii="Arial" w:hAnsi="Arial"/>
          <w:bCs/>
          <w:iCs/>
        </w:rPr>
        <w:t>This Council is committed to safeguarding and promoting the welfare of children, young people and vulnerable adults and expects all staff and volunteers to share this commitment.  Should the role involve working with the above groups, you will be subject to an Enhanced Disclosure and Barred List check by the Disclosure &amp; Barring Service.</w:t>
      </w:r>
    </w:p>
    <w:p>
      <w:pPr>
        <w:pStyle w:val="Normal"/>
        <w:rPr>
          <w:rFonts w:ascii="Arial" w:hAnsi="Arial" w:cs="Arial"/>
          <w:bCs/>
          <w:iCs/>
        </w:rPr>
      </w:pPr>
      <w:r>
        <w:rPr>
          <w:rFonts w:cs="Arial" w:ascii="Arial" w:hAnsi="Arial"/>
          <w:bCs/>
          <w:iCs/>
        </w:rPr>
      </w:r>
    </w:p>
    <w:p>
      <w:pPr>
        <w:pStyle w:val="Normal"/>
        <w:rPr>
          <w:rFonts w:ascii="Arial" w:hAnsi="Arial" w:cs="Arial"/>
          <w:bCs/>
          <w:iCs/>
        </w:rPr>
      </w:pPr>
      <w:r>
        <w:rPr>
          <w:rFonts w:cs="Arial" w:ascii="Arial" w:hAnsi="Arial"/>
          <w:bCs/>
          <w:iCs/>
        </w:rPr>
      </w:r>
    </w:p>
    <w:p>
      <w:pPr>
        <w:pStyle w:val="Normal"/>
        <w:rPr/>
      </w:pPr>
      <w:r>
        <w:rPr>
          <w:rFonts w:cs="Arial" w:ascii="Arial" w:hAnsi="Arial"/>
          <w:b/>
          <w:bCs/>
          <w:color w:val="10191C"/>
          <w:shd w:fill="FFFFFF" w:val="clear"/>
        </w:rPr>
        <w:t>The values of an organisation are those key principles by which people are expected to work to day to day. They’re our culture and help define what is expected of each and every one of us</w:t>
      </w:r>
      <w:r>
        <w:rPr>
          <w:rFonts w:cs="Arial" w:ascii="Arial" w:hAnsi="Arial"/>
          <w:color w:val="10191C"/>
          <w:shd w:fill="FFFFFF" w:val="clear"/>
        </w:rPr>
        <w:t>.</w:t>
      </w:r>
    </w:p>
    <w:p>
      <w:pPr>
        <w:pStyle w:val="Normal"/>
        <w:rPr/>
      </w:pPr>
      <w:r>
        <w:rPr/>
        <w:drawing>
          <wp:inline distT="0" distB="0" distL="0" distR="0">
            <wp:extent cx="6122035" cy="1628140"/>
            <wp:effectExtent l="0" t="0" r="0" b="0"/>
            <wp:docPr id="7"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4" descr=""/>
                    <pic:cNvPicPr>
                      <a:picLocks noChangeAspect="1" noChangeArrowheads="1"/>
                    </pic:cNvPicPr>
                  </pic:nvPicPr>
                  <pic:blipFill>
                    <a:blip r:embed="rId7"/>
                    <a:srcRect l="-4" t="-14" r="-4" b="-14"/>
                    <a:stretch>
                      <a:fillRect/>
                    </a:stretch>
                  </pic:blipFill>
                  <pic:spPr bwMode="auto">
                    <a:xfrm>
                      <a:off x="0" y="0"/>
                      <a:ext cx="6122035" cy="1628140"/>
                    </a:xfrm>
                    <a:prstGeom prst="rect">
                      <a:avLst/>
                    </a:prstGeom>
                  </pic:spPr>
                </pic:pic>
              </a:graphicData>
            </a:graphic>
          </wp:inline>
        </w:drawing>
      </w:r>
    </w:p>
    <w:p>
      <w:pPr>
        <w:pStyle w:val="Normal"/>
        <w:rPr/>
      </w:pPr>
      <w:r>
        <w:rPr/>
        <w:drawing>
          <wp:inline distT="0" distB="0" distL="0" distR="0">
            <wp:extent cx="6118225" cy="1684655"/>
            <wp:effectExtent l="0" t="0" r="0" b="0"/>
            <wp:docPr id="8"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5" descr=""/>
                    <pic:cNvPicPr>
                      <a:picLocks noChangeAspect="1" noChangeArrowheads="1"/>
                    </pic:cNvPicPr>
                  </pic:nvPicPr>
                  <pic:blipFill>
                    <a:blip r:embed="rId8"/>
                    <a:srcRect l="-4" t="-13" r="-4" b="-13"/>
                    <a:stretch>
                      <a:fillRect/>
                    </a:stretch>
                  </pic:blipFill>
                  <pic:spPr bwMode="auto">
                    <a:xfrm>
                      <a:off x="0" y="0"/>
                      <a:ext cx="6118225" cy="1684655"/>
                    </a:xfrm>
                    <a:prstGeom prst="rect">
                      <a:avLst/>
                    </a:prstGeom>
                  </pic:spPr>
                </pic:pic>
              </a:graphicData>
            </a:graphic>
          </wp:inline>
        </w:drawing>
      </w:r>
      <w:r>
        <w:rPr/>
        <w:drawing>
          <wp:inline distT="0" distB="0" distL="0" distR="0">
            <wp:extent cx="6117590" cy="1514475"/>
            <wp:effectExtent l="0" t="0" r="0" b="0"/>
            <wp:docPr id="9"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6" descr=""/>
                    <pic:cNvPicPr>
                      <a:picLocks noChangeAspect="1" noChangeArrowheads="1"/>
                    </pic:cNvPicPr>
                  </pic:nvPicPr>
                  <pic:blipFill>
                    <a:blip r:embed="rId9"/>
                    <a:srcRect l="-4" t="-15" r="-4" b="-15"/>
                    <a:stretch>
                      <a:fillRect/>
                    </a:stretch>
                  </pic:blipFill>
                  <pic:spPr bwMode="auto">
                    <a:xfrm>
                      <a:off x="0" y="0"/>
                      <a:ext cx="6117590" cy="1514475"/>
                    </a:xfrm>
                    <a:prstGeom prst="rect">
                      <a:avLst/>
                    </a:prstGeom>
                  </pic:spPr>
                </pic:pic>
              </a:graphicData>
            </a:graphic>
          </wp:inline>
        </w:drawing>
      </w:r>
      <w:r>
        <w:rPr/>
        <w:drawing>
          <wp:inline distT="0" distB="0" distL="0" distR="0">
            <wp:extent cx="6120130" cy="1304290"/>
            <wp:effectExtent l="0" t="0" r="0" b="0"/>
            <wp:docPr id="10" name="Image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7" descr=""/>
                    <pic:cNvPicPr>
                      <a:picLocks noChangeAspect="1" noChangeArrowheads="1"/>
                    </pic:cNvPicPr>
                  </pic:nvPicPr>
                  <pic:blipFill>
                    <a:blip r:embed="rId10"/>
                    <a:srcRect l="-4" t="-15" r="-4" b="-15"/>
                    <a:stretch>
                      <a:fillRect/>
                    </a:stretch>
                  </pic:blipFill>
                  <pic:spPr bwMode="auto">
                    <a:xfrm>
                      <a:off x="0" y="0"/>
                      <a:ext cx="6120130" cy="1304290"/>
                    </a:xfrm>
                    <a:prstGeom prst="rect">
                      <a:avLst/>
                    </a:prstGeom>
                  </pic:spPr>
                </pic:pic>
              </a:graphicData>
            </a:graphic>
          </wp:inline>
        </w:drawing>
      </w:r>
    </w:p>
    <w:p>
      <w:pPr>
        <w:pStyle w:val="Normal"/>
        <w:rPr/>
      </w:pPr>
      <w:r>
        <w:rPr/>
        <w:drawing>
          <wp:inline distT="0" distB="0" distL="0" distR="0">
            <wp:extent cx="6120765" cy="1504950"/>
            <wp:effectExtent l="0" t="0" r="0" b="0"/>
            <wp:docPr id="11" name="Image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8" descr=""/>
                    <pic:cNvPicPr>
                      <a:picLocks noChangeAspect="1" noChangeArrowheads="1"/>
                    </pic:cNvPicPr>
                  </pic:nvPicPr>
                  <pic:blipFill>
                    <a:blip r:embed="rId11"/>
                    <a:srcRect l="-6" t="-19" r="-6" b="-19"/>
                    <a:stretch>
                      <a:fillRect/>
                    </a:stretch>
                  </pic:blipFill>
                  <pic:spPr bwMode="auto">
                    <a:xfrm>
                      <a:off x="0" y="0"/>
                      <a:ext cx="6120765" cy="1504950"/>
                    </a:xfrm>
                    <a:prstGeom prst="rect">
                      <a:avLst/>
                    </a:prstGeom>
                  </pic:spPr>
                </pic:pic>
              </a:graphicData>
            </a:graphic>
          </wp:inline>
        </w:drawing>
      </w:r>
    </w:p>
    <w:p>
      <w:pPr>
        <w:pStyle w:val="Normal"/>
        <w:widowControl/>
        <w:bidi w:val="0"/>
        <w:spacing w:lineRule="auto" w:line="276" w:before="0" w:after="200"/>
        <w:jc w:val="left"/>
        <w:rPr/>
      </w:pPr>
      <w:r>
        <w:rPr/>
      </w:r>
    </w:p>
    <w:sectPr>
      <w:footerReference w:type="default" r:id="rId12"/>
      <w:footerReference w:type="first" r:id="rId13"/>
      <w:type w:val="nextPage"/>
      <w:pgSz w:w="11906" w:h="16838"/>
      <w:pgMar w:left="1134" w:right="1134" w:gutter="0" w:header="0" w:top="1361" w:footer="709" w:bottom="113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rFonts w:ascii="Arial" w:hAnsi="Arial" w:cs="Arial"/>
        <w:sz w:val="21"/>
        <w:szCs w:val="21"/>
      </w:rPr>
    </w:pPr>
    <w:r>
      <w:rPr>
        <w:rFonts w:cs="Arial" w:ascii="Arial" w:hAnsi="Arial"/>
        <w:sz w:val="21"/>
        <w:szCs w:val="21"/>
      </w:rPr>
      <w:t xml:space="preserve">Our Values: </w:t>
    </w:r>
  </w:p>
  <w:p>
    <w:pPr>
      <w:pStyle w:val="Footer"/>
      <w:jc w:val="center"/>
      <w:rPr>
        <w:rFonts w:ascii="Arial" w:hAnsi="Arial" w:cs="Arial"/>
        <w:sz w:val="21"/>
        <w:szCs w:val="21"/>
      </w:rPr>
    </w:pPr>
    <w:r>
      <w:rPr>
        <w:rFonts w:cs="Arial" w:ascii="Arial" w:hAnsi="Arial"/>
        <w:sz w:val="21"/>
        <w:szCs w:val="21"/>
      </w:rPr>
      <w:t>Accountability, Determination, Honesty and Respect, Making a Difference, Working Together</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rFonts w:ascii="Arial" w:hAnsi="Arial" w:cs="Arial"/>
        <w:sz w:val="21"/>
        <w:szCs w:val="21"/>
      </w:rPr>
    </w:pPr>
    <w:r>
      <w:rPr>
        <w:rFonts w:cs="Arial" w:ascii="Arial" w:hAnsi="Arial"/>
        <w:sz w:val="21"/>
        <w:szCs w:val="21"/>
      </w:rPr>
      <w:t xml:space="preserve">Our Values: </w:t>
    </w:r>
  </w:p>
  <w:p>
    <w:pPr>
      <w:pStyle w:val="Footer"/>
      <w:jc w:val="center"/>
      <w:rPr>
        <w:rFonts w:ascii="Arial" w:hAnsi="Arial" w:cs="Arial"/>
        <w:sz w:val="21"/>
        <w:szCs w:val="21"/>
      </w:rPr>
    </w:pPr>
    <w:r>
      <w:rPr>
        <w:rFonts w:cs="Arial" w:ascii="Arial" w:hAnsi="Arial"/>
        <w:sz w:val="21"/>
        <w:szCs w:val="21"/>
      </w:rPr>
      <w:t>Accountability, Determination, Honesty and Respect, Making a Difference, Working Together</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settings.xml><?xml version="1.0" encoding="utf-8"?>
<w:settings xmlns:w="http://schemas.openxmlformats.org/wordprocessingml/2006/main">
  <w:zoom w:percent="130"/>
  <w:displayBackgroundShape/>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76" w:before="0" w:after="200"/>
      <w:jc w:val="left"/>
    </w:pPr>
    <w:rPr>
      <w:rFonts w:ascii="Calibri" w:hAnsi="Calibri" w:eastAsia="Calibri" w:cs=""/>
      <w:color w:val="auto"/>
      <w:kern w:val="0"/>
      <w:sz w:val="22"/>
      <w:szCs w:val="22"/>
      <w:lang w:val="en-GB" w:eastAsia="en-US" w:bidi="ar-SA"/>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Hyperlink">
    <w:name w:val="Hyperlink"/>
    <w:basedOn w:val="DefaultParagraphFont"/>
    <w:rPr>
      <w:color w:val="0000FF"/>
      <w:u w:val="single"/>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lineRule="auto" w:line="264" w:before="0" w:after="0"/>
      <w:ind w:hanging="0" w:left="720" w:right="0"/>
      <w:contextualSpacing/>
    </w:pPr>
    <w:rPr>
      <w:rFonts w:ascii="Arial" w:hAnsi="Arial" w:eastAsia="Times New Roman" w:cs="Times New Roman"/>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jpeg"/><Relationship Id="rId4" Type="http://schemas.openxmlformats.org/officeDocument/2006/relationships/image" Target="media/image2.jpeg"/><Relationship Id="rId5" Type="http://schemas.openxmlformats.org/officeDocument/2006/relationships/footer" Target="footer1.xml"/><Relationship Id="rId6" Type="http://schemas.openxmlformats.org/officeDocument/2006/relationships/image" Target="media/image3.jpeg"/><Relationship Id="rId7" Type="http://schemas.openxmlformats.org/officeDocument/2006/relationships/image" Target="media/image4.png"/><Relationship Id="rId8" Type="http://schemas.openxmlformats.org/officeDocument/2006/relationships/image" Target="media/image5.png"/><Relationship Id="rId9" Type="http://schemas.openxmlformats.org/officeDocument/2006/relationships/image" Target="media/image6.png"/><Relationship Id="rId10" Type="http://schemas.openxmlformats.org/officeDocument/2006/relationships/image" Target="media/image7.png"/><Relationship Id="rId11" Type="http://schemas.openxmlformats.org/officeDocument/2006/relationships/image" Target="media/image8.png"/><Relationship Id="rId12" Type="http://schemas.openxmlformats.org/officeDocument/2006/relationships/footer" Target="footer2.xml"/><Relationship Id="rId13" Type="http://schemas.openxmlformats.org/officeDocument/2006/relationships/footer" Target="footer3.xml"/><Relationship Id="rId14" Type="http://schemas.openxmlformats.org/officeDocument/2006/relationships/fontTable" Target="fontTable.xml"/><Relationship Id="rId15" Type="http://schemas.openxmlformats.org/officeDocument/2006/relationships/settings" Target="settings.xml"/><Relationship Id="rId1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17</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