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8.png" ContentType="image/png"/>
  <Override PartName="/word/media/image3.jpeg" ContentType="image/jpeg"/>
  <Override PartName="/word/media/image5.png" ContentType="image/png"/>
  <Override PartName="/word/media/image4.jpeg" ContentType="image/jpeg"/>
  <Override PartName="/word/media/image6.png" ContentType="image/png"/>
  <Override PartName="/word/media/image7.png" ContentType="image/png"/>
  <Override PartName="/word/media/image9.png" ContentType="image/png"/>
  <Override PartName="/word/comments.xml" ContentType="application/vnd.openxmlformats-officedocument.wordprocessingml.comment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8">
            <wp:simplePos x="0" y="0"/>
            <wp:positionH relativeFrom="column">
              <wp:posOffset>4394835</wp:posOffset>
            </wp:positionH>
            <wp:positionV relativeFrom="paragraph">
              <wp:posOffset>-513080</wp:posOffset>
            </wp:positionV>
            <wp:extent cx="1904365" cy="837565"/>
            <wp:effectExtent l="0" t="0" r="0" b="0"/>
            <wp:wrapNone/>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mc:AlternateContent>
          <mc:Choice Requires="wps">
            <w:drawing>
              <wp:anchor behindDoc="0" distT="0" distB="0" distL="114935" distR="114935" simplePos="0" locked="0" layoutInCell="1" allowOverlap="1" relativeHeight="9">
                <wp:simplePos x="0" y="0"/>
                <wp:positionH relativeFrom="column">
                  <wp:posOffset>-302895</wp:posOffset>
                </wp:positionH>
                <wp:positionV relativeFrom="paragraph">
                  <wp:posOffset>21590</wp:posOffset>
                </wp:positionV>
                <wp:extent cx="2828290" cy="648970"/>
                <wp:effectExtent l="0" t="0" r="0" b="0"/>
                <wp:wrapNone/>
                <wp:docPr id="2" name="Text Box 2"/>
                <a:graphic xmlns:a="http://schemas.openxmlformats.org/drawingml/2006/main">
                  <a:graphicData uri="http://schemas.microsoft.com/office/word/2010/wordprocessingShape">
                    <wps:wsp>
                      <wps:cNvSpPr/>
                      <wps:spPr>
                        <a:xfrm>
                          <a:off x="0" y="0"/>
                          <a:ext cx="2827800" cy="64836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2" fillcolor="white" stroked="f" style="position:absolute;margin-left:-23.85pt;margin-top:1.7pt;width:222.6pt;height:51pt">
                <w10:wrap type="none"/>
                <v:fill o:detectmouseclick="t" type="solid" color2="black"/>
                <v:stroke color="#3465a4" joinstyle="round" endcap="flat"/>
              </v:rect>
            </w:pict>
          </mc:Fallback>
        </mc:AlternateContent>
      </w:r>
      <w:r>
        <mc:AlternateContent>
          <mc:Choice Requires="wps">
            <w:drawing>
              <wp:anchor behindDoc="0" distT="72390" distB="72390" distL="0" distR="0" simplePos="0" locked="0" layoutInCell="1" allowOverlap="1" relativeHeight="11">
                <wp:simplePos x="0" y="0"/>
                <wp:positionH relativeFrom="column">
                  <wp:posOffset>-302895</wp:posOffset>
                </wp:positionH>
                <wp:positionV relativeFrom="paragraph">
                  <wp:posOffset>21590</wp:posOffset>
                </wp:positionV>
                <wp:extent cx="2827655" cy="648335"/>
                <wp:effectExtent l="0" t="0" r="0" b="0"/>
                <wp:wrapNone/>
                <wp:docPr id="3" name="Frame1"/>
                <a:graphic xmlns:a="http://schemas.openxmlformats.org/drawingml/2006/main">
                  <a:graphicData uri="http://schemas.microsoft.com/office/word/2010/wordprocessingShape">
                    <wps:wsp>
                      <wps:cNvSpPr txBox="1"/>
                      <wps:spPr>
                        <a:xfrm>
                          <a:off x="0" y="0"/>
                          <a:ext cx="2827655" cy="648335"/>
                        </a:xfrm>
                        <a:prstGeom prst="rect"/>
                        <a:solidFill>
                          <a:srgbClr val="FFFFFF"/>
                        </a:solidFill>
                      </wps:spPr>
                      <wps:txbx>
                        <w:txbxContent>
                          <w:p>
                            <w:pPr>
                              <w:pStyle w:val="FrameContents"/>
                              <w:spacing w:before="0" w:after="200"/>
                              <w:rPr/>
                            </w:pPr>
                            <w:r>
                              <w:rPr/>
                              <w:drawing>
                                <wp:inline distT="0" distB="0" distL="0" distR="0">
                                  <wp:extent cx="2665730" cy="509270"/>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222.65pt;height:51.05pt;mso-wrap-distance-left:0pt;mso-wrap-distance-right:0pt;mso-wrap-distance-top:5.7pt;mso-wrap-distance-bottom:5.7pt;margin-top:1.7pt;mso-position-vertical-relative:text;margin-left:-23.85pt;mso-position-horizontal-relative:text">
                <v:textbox inset="0.100694444444444in,0.0506944444444444in,0.100694444444444in,0.0506944444444444in">
                  <w:txbxContent>
                    <w:p>
                      <w:pPr>
                        <w:pStyle w:val="FrameContents"/>
                        <w:spacing w:before="0" w:after="200"/>
                        <w:rPr/>
                      </w:pPr>
                      <w:r>
                        <w:rPr/>
                        <w:drawing>
                          <wp:inline distT="0" distB="0" distL="0" distR="0">
                            <wp:extent cx="2665730" cy="509270"/>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3"/>
                                    <a:srcRect l="-15" t="-80" r="-15" b="-80"/>
                                    <a:stretch>
                                      <a:fillRect/>
                                    </a:stretch>
                                  </pic:blipFill>
                                  <pic:spPr bwMode="auto">
                                    <a:xfrm>
                                      <a:off x="0" y="0"/>
                                      <a:ext cx="2665730" cy="509270"/>
                                    </a:xfrm>
                                    <a:prstGeom prst="rect">
                                      <a:avLst/>
                                    </a:prstGeom>
                                  </pic:spPr>
                                </pic:pic>
                              </a:graphicData>
                            </a:graphic>
                          </wp:inline>
                        </w:drawing>
                      </w:r>
                    </w:p>
                  </w:txbxContent>
                </v:textbox>
              </v:rect>
            </w:pict>
          </mc:Fallback>
        </mc:AlternateContent>
      </w:r>
    </w:p>
    <w:p>
      <w:pPr>
        <w:pStyle w:val="Normal"/>
        <w:rPr>
          <w:rFonts w:eastAsia="Calibri" w:cs="Calibri"/>
        </w:rPr>
      </w:pPr>
      <w:r>
        <w:rPr>
          <w:rFonts w:eastAsia="Calibri" w:cs="Calibri"/>
        </w:rPr>
        <w:t xml:space="preserve">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 xml:space="preserve">CHILDREN’S SERVICES </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Local Authority Designated Officer (LADO)</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Grade K</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The LADO responds promptly, effectively and confidentially to allegations and concerns from all organisations offering a service to children, ensuring high standards of professionals practice consistent with legislation and statutory guidance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The LADO also has a key role in challenging and supporting agencies to take appropriate and timely steps to safeguard children from neglect and abuse by professionals, volunteers and those in public office who have direct contact with or responsibility for children.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vAlign w:val="center"/>
          </w:tcPr>
          <w:p>
            <w:pPr>
              <w:pStyle w:val="Normal"/>
              <w:spacing w:lineRule="auto" w:line="240" w:before="0" w:after="0"/>
              <w:rPr>
                <w:rFonts w:ascii="Arial" w:hAnsi="Arial" w:cs="Arial"/>
              </w:rPr>
            </w:pPr>
            <w:r>
              <w:rPr>
                <w:rFonts w:cs="Arial" w:ascii="Arial" w:hAnsi="Arial"/>
              </w:rPr>
              <w:t>Head of Service – Conferencing, Reviewing and Partnership</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p>
      <w:pPr>
        <w:pStyle w:val="Normal"/>
        <w:spacing w:lineRule="auto" w:line="240" w:before="0" w:after="120"/>
        <w:rPr>
          <w:rFonts w:ascii="Arial" w:hAnsi="Arial" w:cs="Arial"/>
          <w:bCs/>
        </w:rPr>
      </w:pPr>
      <w:r>
        <w:rPr>
          <w:rFonts w:cs="Arial" w:ascii="Arial" w:hAnsi="Arial"/>
          <w:bCs/>
        </w:rPr>
        <w:t xml:space="preserve">You will be the first point of contact for all allegations made against people who work and volunteer with children and young people and will provide guidance and advice on the most appropriate action in consultation with the employer. </w:t>
      </w:r>
    </w:p>
    <w:p>
      <w:pPr>
        <w:pStyle w:val="Normal"/>
        <w:spacing w:lineRule="auto" w:line="240" w:before="0" w:after="120"/>
        <w:rPr>
          <w:rFonts w:ascii="Arial" w:hAnsi="Arial" w:cs="Arial"/>
          <w:bCs/>
        </w:rPr>
      </w:pPr>
      <w:r>
        <w:rPr>
          <w:rFonts w:cs="Arial" w:ascii="Arial" w:hAnsi="Arial"/>
          <w:bCs/>
        </w:rPr>
        <w:t xml:space="preserve">This role involves collaborating with police, children's social care. employers and other professionals. It is important to note the LADO does not conduct investigations directly, but rather oversees and guides them to ensure thoroughness, timeliness, and fairness. </w:t>
      </w:r>
    </w:p>
    <w:p>
      <w:pPr>
        <w:pStyle w:val="Normal"/>
        <w:spacing w:lineRule="auto" w:line="240" w:before="0" w:after="120"/>
        <w:rPr>
          <w:rFonts w:ascii="Arial" w:hAnsi="Arial" w:cs="Arial"/>
          <w:b/>
          <w:b/>
        </w:rPr>
      </w:pPr>
      <w:r>
        <w:rPr>
          <w:rFonts w:cs="Arial" w:ascii="Arial" w:hAnsi="Arial"/>
          <w:b/>
        </w:rPr>
      </w:r>
    </w:p>
    <w:tbl>
      <w:tblPr>
        <w:tblW w:w="8834" w:type="dxa"/>
        <w:jc w:val="left"/>
        <w:tblInd w:w="0" w:type="dxa"/>
        <w:tblCellMar>
          <w:top w:w="0" w:type="dxa"/>
          <w:left w:w="108" w:type="dxa"/>
          <w:bottom w:w="0" w:type="dxa"/>
          <w:right w:w="108" w:type="dxa"/>
        </w:tblCellMar>
      </w:tblPr>
      <w:tblGrid>
        <w:gridCol w:w="8834"/>
      </w:tblGrid>
      <w:tr>
        <w:trPr>
          <w:trHeight w:val="506" w:hRule="atLeast"/>
        </w:trPr>
        <w:tc>
          <w:tcPr>
            <w:tcW w:w="8834" w:type="dxa"/>
            <w:tcBorders/>
            <w:shd w:fill="auto" w:val="clear"/>
          </w:tcPr>
          <w:p>
            <w:pPr>
              <w:pStyle w:val="ListParagraph"/>
              <w:numPr>
                <w:ilvl w:val="0"/>
                <w:numId w:val="1"/>
              </w:numPr>
              <w:spacing w:lineRule="auto" w:line="240" w:before="120" w:after="0"/>
              <w:contextualSpacing/>
              <w:rPr>
                <w:rFonts w:cs="Arial"/>
                <w:bCs/>
              </w:rPr>
            </w:pPr>
            <w:r>
              <w:rPr>
                <w:rFonts w:cs="Arial"/>
                <w:bCs/>
              </w:rPr>
              <w:t>To fulfil the statutory functions of a Designated Officer in accordance with the national guidance and council procedures.</w:t>
            </w:r>
          </w:p>
        </w:tc>
      </w:tr>
      <w:tr>
        <w:trPr>
          <w:trHeight w:val="506" w:hRule="atLeast"/>
        </w:trPr>
        <w:tc>
          <w:tcPr>
            <w:tcW w:w="8834" w:type="dxa"/>
            <w:tcBorders/>
            <w:shd w:fill="auto" w:val="clear"/>
          </w:tcPr>
          <w:p>
            <w:pPr>
              <w:pStyle w:val="ListParagraph"/>
              <w:numPr>
                <w:ilvl w:val="0"/>
                <w:numId w:val="1"/>
              </w:numPr>
              <w:spacing w:lineRule="auto" w:line="240" w:before="120" w:after="0"/>
              <w:contextualSpacing/>
              <w:rPr>
                <w:rFonts w:cs="Arial"/>
                <w:bCs/>
              </w:rPr>
            </w:pPr>
            <w:r>
              <w:rPr>
                <w:rFonts w:cs="Arial"/>
                <w:bCs/>
              </w:rPr>
              <w:t>To utilise knowledge to provide advice and guidance across all organisations and assist in applying threshold for LADO involvement.</w:t>
            </w:r>
          </w:p>
        </w:tc>
      </w:tr>
      <w:tr>
        <w:trPr>
          <w:trHeight w:val="506" w:hRule="atLeast"/>
        </w:trPr>
        <w:tc>
          <w:tcPr>
            <w:tcW w:w="8834" w:type="dxa"/>
            <w:tcBorders/>
            <w:shd w:fill="auto" w:val="clear"/>
          </w:tcPr>
          <w:p>
            <w:pPr>
              <w:pStyle w:val="ListParagraph"/>
              <w:numPr>
                <w:ilvl w:val="0"/>
                <w:numId w:val="1"/>
              </w:numPr>
              <w:spacing w:lineRule="auto" w:line="240" w:before="120" w:after="0"/>
              <w:contextualSpacing/>
              <w:rPr>
                <w:rFonts w:cs="Arial"/>
                <w:bCs/>
              </w:rPr>
            </w:pPr>
            <w:r>
              <w:rPr>
                <w:rFonts w:cs="Arial"/>
                <w:bCs/>
              </w:rPr>
              <w:t>To lead, chair and facilitate meetings as appropriate and advise and participate in S47 investigations where appropriate.</w:t>
            </w:r>
          </w:p>
          <w:p>
            <w:pPr>
              <w:pStyle w:val="ListParagraph"/>
              <w:numPr>
                <w:ilvl w:val="0"/>
                <w:numId w:val="1"/>
              </w:numPr>
              <w:spacing w:lineRule="auto" w:line="240" w:before="120" w:after="0"/>
              <w:contextualSpacing/>
              <w:rPr>
                <w:sz w:val="23"/>
                <w:szCs w:val="23"/>
              </w:rPr>
            </w:pPr>
            <w:r>
              <w:rPr>
                <w:sz w:val="23"/>
                <w:szCs w:val="23"/>
              </w:rPr>
              <w:t xml:space="preserve">To maintain clear records, including actions agreed and taken as a result of consultations and strategy meetings and the outcomes. </w:t>
            </w:r>
          </w:p>
          <w:p>
            <w:pPr>
              <w:pStyle w:val="ListParagraph"/>
              <w:numPr>
                <w:ilvl w:val="0"/>
                <w:numId w:val="1"/>
              </w:numPr>
              <w:spacing w:lineRule="auto" w:line="240" w:before="120" w:after="0"/>
              <w:contextualSpacing/>
              <w:rPr>
                <w:rFonts w:cs="Arial"/>
                <w:bCs/>
              </w:rPr>
            </w:pPr>
            <w:r>
              <w:rPr>
                <w:rFonts w:cs="Arial"/>
                <w:bCs/>
              </w:rPr>
              <w:t>To ensure that allegations management processes remain child centred, that the child’s voice is heard and that they are safeguarded.</w:t>
            </w:r>
          </w:p>
        </w:tc>
      </w:tr>
      <w:tr>
        <w:trPr>
          <w:trHeight w:val="506" w:hRule="atLeast"/>
        </w:trPr>
        <w:tc>
          <w:tcPr>
            <w:tcW w:w="8834" w:type="dxa"/>
            <w:tcBorders/>
            <w:shd w:fill="auto" w:val="clear"/>
          </w:tcPr>
          <w:p>
            <w:pPr>
              <w:pStyle w:val="ListParagraph"/>
              <w:numPr>
                <w:ilvl w:val="0"/>
                <w:numId w:val="1"/>
              </w:numPr>
              <w:spacing w:lineRule="auto" w:line="240" w:before="120" w:after="0"/>
              <w:contextualSpacing/>
              <w:rPr>
                <w:rFonts w:cs="Arial"/>
                <w:bCs/>
              </w:rPr>
            </w:pPr>
            <w:r>
              <w:rPr>
                <w:rFonts w:cs="Arial"/>
                <w:bCs/>
              </w:rPr>
              <w:t xml:space="preserve">To manage, present and share information, maintain records and provide reports to evidence activity supporting decisions on individual cases. </w:t>
            </w:r>
          </w:p>
          <w:p>
            <w:pPr>
              <w:pStyle w:val="ListParagraph"/>
              <w:numPr>
                <w:ilvl w:val="0"/>
                <w:numId w:val="1"/>
              </w:numPr>
              <w:spacing w:lineRule="auto" w:line="240" w:before="120" w:after="0"/>
              <w:contextualSpacing/>
              <w:rPr>
                <w:rFonts w:cs="Arial"/>
                <w:bCs/>
              </w:rPr>
            </w:pPr>
            <w:r>
              <w:rPr>
                <w:rFonts w:cs="Arial"/>
                <w:bCs/>
              </w:rPr>
              <w:t xml:space="preserve">To maintain an accurate information database in relation to all allegations, advice given, actions taken and decisions made. </w:t>
            </w:r>
          </w:p>
          <w:p>
            <w:pPr>
              <w:pStyle w:val="ListParagraph"/>
              <w:numPr>
                <w:ilvl w:val="0"/>
                <w:numId w:val="1"/>
              </w:numPr>
              <w:spacing w:lineRule="auto" w:line="240" w:before="120" w:after="0"/>
              <w:contextualSpacing/>
              <w:rPr>
                <w:rFonts w:cs="Arial"/>
                <w:bCs/>
              </w:rPr>
            </w:pPr>
            <w:r>
              <w:rPr>
                <w:rFonts w:cs="Arial"/>
                <w:bCs/>
              </w:rPr>
              <w:t>To manage, monitor and review the progress of allegations management processes to ensure they are dealt with as quickly as possible and consistent with a thorough and fair process.</w:t>
            </w:r>
          </w:p>
        </w:tc>
      </w:tr>
      <w:tr>
        <w:trPr>
          <w:trHeight w:val="506" w:hRule="atLeast"/>
        </w:trPr>
        <w:tc>
          <w:tcPr>
            <w:tcW w:w="8834" w:type="dxa"/>
            <w:tcBorders/>
            <w:shd w:fill="auto" w:val="clear"/>
          </w:tcPr>
          <w:p>
            <w:pPr>
              <w:pStyle w:val="ListParagraph"/>
              <w:numPr>
                <w:ilvl w:val="0"/>
                <w:numId w:val="1"/>
              </w:numPr>
              <w:spacing w:lineRule="auto" w:line="240" w:before="120" w:after="0"/>
              <w:contextualSpacing/>
              <w:rPr>
                <w:rFonts w:cs="Arial"/>
                <w:bCs/>
              </w:rPr>
            </w:pPr>
            <w:r>
              <w:rPr>
                <w:rFonts w:cs="Arial"/>
                <w:bCs/>
              </w:rPr>
              <w:t>To critically examine activity for trends, themes and performance issues across services and provide evidenced based feedback to support and improve the safety of services.</w:t>
            </w:r>
          </w:p>
        </w:tc>
      </w:tr>
      <w:tr>
        <w:trPr>
          <w:trHeight w:val="506" w:hRule="atLeast"/>
        </w:trPr>
        <w:tc>
          <w:tcPr>
            <w:tcW w:w="8834" w:type="dxa"/>
            <w:tcBorders/>
            <w:shd w:fill="auto" w:val="clear"/>
          </w:tcPr>
          <w:p>
            <w:pPr>
              <w:pStyle w:val="ListParagraph"/>
              <w:numPr>
                <w:ilvl w:val="0"/>
                <w:numId w:val="1"/>
              </w:numPr>
              <w:spacing w:lineRule="auto" w:line="240" w:before="120" w:after="0"/>
              <w:contextualSpacing/>
              <w:rPr>
                <w:rFonts w:cs="Arial"/>
                <w:bCs/>
              </w:rPr>
            </w:pPr>
            <w:r>
              <w:rPr>
                <w:rFonts w:cs="Arial"/>
                <w:bCs/>
              </w:rPr>
              <w:t>To work within multi-disciplinary and multi-organisational teams, networks and systems.</w:t>
            </w:r>
          </w:p>
          <w:p>
            <w:pPr>
              <w:pStyle w:val="ListParagraph"/>
              <w:numPr>
                <w:ilvl w:val="0"/>
                <w:numId w:val="1"/>
              </w:numPr>
              <w:spacing w:lineRule="auto" w:line="240" w:before="120" w:after="0"/>
              <w:contextualSpacing/>
              <w:rPr/>
            </w:pPr>
            <w:r>
              <w:rPr>
                <w:rFonts w:cs="Arial"/>
                <w:bCs/>
              </w:rPr>
              <w:t xml:space="preserve">To create and provide training and development activities as necessary to ensure up to date knowledge, skills and continuous professional development of staff within the organisation and the wider multi-agency </w:t>
            </w:r>
            <w:commentRangeStart w:id="0"/>
            <w:r>
              <w:rPr>
                <w:rFonts w:cs="Arial"/>
                <w:bCs/>
              </w:rPr>
              <w:t>network</w:t>
            </w:r>
            <w:r>
              <w:rPr>
                <w:rFonts w:cs="Arial"/>
                <w:bCs/>
                <w:vanish w:val="false"/>
              </w:rPr>
            </w:r>
            <w:commentRangeEnd w:id="0"/>
            <w:r>
              <w:commentReference w:id="0"/>
            </w:r>
            <w:r>
              <w:rPr>
                <w:rFonts w:cs="Arial"/>
                <w:bCs/>
              </w:rPr>
              <w:t>.</w:t>
            </w:r>
          </w:p>
        </w:tc>
      </w:tr>
      <w:tr>
        <w:trPr>
          <w:trHeight w:val="506" w:hRule="atLeast"/>
        </w:trPr>
        <w:tc>
          <w:tcPr>
            <w:tcW w:w="8834" w:type="dxa"/>
            <w:tcBorders/>
            <w:shd w:fill="auto" w:val="clear"/>
          </w:tcPr>
          <w:p>
            <w:pPr>
              <w:pStyle w:val="ListParagraph"/>
              <w:numPr>
                <w:ilvl w:val="0"/>
                <w:numId w:val="1"/>
              </w:numPr>
              <w:spacing w:lineRule="auto" w:line="240" w:before="120" w:after="0"/>
              <w:contextualSpacing/>
              <w:rPr>
                <w:rFonts w:cs="Arial"/>
                <w:bCs/>
              </w:rPr>
            </w:pPr>
            <w:r>
              <w:rPr>
                <w:rFonts w:cs="Arial"/>
                <w:bCs/>
              </w:rPr>
              <w:t>To prepare and complete an Annual Report on activity and be prepared to provide presentation to relevant forums and meetings</w:t>
            </w:r>
          </w:p>
        </w:tc>
      </w:tr>
      <w:tr>
        <w:trPr>
          <w:trHeight w:val="506" w:hRule="atLeast"/>
        </w:trPr>
        <w:tc>
          <w:tcPr>
            <w:tcW w:w="8834" w:type="dxa"/>
            <w:tcBorders/>
            <w:shd w:fill="auto" w:val="clear"/>
          </w:tcPr>
          <w:p>
            <w:pPr>
              <w:pStyle w:val="ListParagraph"/>
              <w:numPr>
                <w:ilvl w:val="0"/>
                <w:numId w:val="1"/>
              </w:numPr>
              <w:spacing w:lineRule="auto" w:line="240" w:before="120" w:after="0"/>
              <w:contextualSpacing/>
              <w:rPr>
                <w:rFonts w:cs="Arial"/>
                <w:bCs/>
              </w:rPr>
            </w:pPr>
            <w:r>
              <w:rPr>
                <w:rFonts w:cs="Arial"/>
                <w:bCs/>
              </w:rPr>
              <w:t xml:space="preserve">To offer critical challenge where necessary to ensure decision making is proportionate and evidenced based. </w:t>
            </w:r>
          </w:p>
        </w:tc>
      </w:tr>
      <w:tr>
        <w:trPr>
          <w:trHeight w:val="506" w:hRule="atLeast"/>
        </w:trPr>
        <w:tc>
          <w:tcPr>
            <w:tcW w:w="8834" w:type="dxa"/>
            <w:tcBorders/>
            <w:shd w:fill="auto" w:val="clear"/>
          </w:tcPr>
          <w:p>
            <w:pPr>
              <w:pStyle w:val="ListParagraph"/>
              <w:numPr>
                <w:ilvl w:val="0"/>
                <w:numId w:val="1"/>
              </w:numPr>
              <w:spacing w:lineRule="auto" w:line="240" w:before="120" w:after="0"/>
              <w:contextualSpacing/>
              <w:rPr>
                <w:rFonts w:cs="Arial"/>
                <w:bCs/>
              </w:rPr>
            </w:pPr>
            <w:r>
              <w:rPr>
                <w:rFonts w:cs="Arial"/>
                <w:bCs/>
              </w:rPr>
              <w:t>To participate and contribute to the Pan Manchester LADO Forum promoting working relationships across authorities and consistency in approach</w:t>
            </w:r>
          </w:p>
          <w:p>
            <w:pPr>
              <w:pStyle w:val="ListParagraph"/>
              <w:spacing w:lineRule="auto" w:line="240" w:before="120" w:after="0"/>
              <w:contextualSpacing/>
              <w:rPr>
                <w:rFonts w:cs="Arial"/>
                <w:bCs/>
              </w:rPr>
            </w:pPr>
            <w:r>
              <w:rPr>
                <w:rFonts w:cs="Arial"/>
                <w:bCs/>
              </w:rPr>
            </w:r>
          </w:p>
          <w:p>
            <w:pPr>
              <w:pStyle w:val="ListParagraph"/>
              <w:numPr>
                <w:ilvl w:val="0"/>
                <w:numId w:val="1"/>
              </w:numPr>
              <w:spacing w:lineRule="auto" w:line="240" w:before="120" w:after="0"/>
              <w:contextualSpacing/>
              <w:rPr>
                <w:rFonts w:cs="Arial"/>
              </w:rPr>
            </w:pPr>
            <w:r>
              <w:rPr>
                <w:rFonts w:cs="Arial"/>
              </w:rPr>
              <w:t>Any other duties in line with the post, which may be required from time to time.</w:t>
            </w:r>
          </w:p>
        </w:tc>
      </w:tr>
    </w:tbl>
    <w:p>
      <w:pPr>
        <w:pStyle w:val="Normal"/>
        <w:spacing w:lineRule="auto" w:line="240" w:before="0" w:after="120"/>
        <w:rPr>
          <w:rFonts w:ascii="Arial" w:hAnsi="Arial" w:cs="Arial"/>
          <w:b/>
          <w:b/>
        </w:rPr>
      </w:pPr>
      <w:r>
        <w:rPr>
          <w:rFonts w:cs="Arial" w:ascii="Arial" w:hAnsi="Arial"/>
          <w:b/>
        </w:rPr>
      </w:r>
    </w:p>
    <w:p>
      <w:pPr>
        <w:pStyle w:val="Normal"/>
        <w:spacing w:lineRule="auto" w:line="240" w:before="0" w:after="120"/>
        <w:rPr>
          <w:rFonts w:ascii="Arial" w:hAnsi="Arial" w:cs="Arial"/>
          <w:b/>
          <w:b/>
        </w:rPr>
      </w:pPr>
      <w:r>
        <w:rPr>
          <w:rFonts w:cs="Arial" w:ascii="Arial" w:hAnsi="Arial"/>
          <w:b/>
        </w:rPr>
      </w:r>
    </w:p>
    <w:tbl>
      <w:tblPr>
        <w:tblW w:w="9637" w:type="dxa"/>
        <w:jc w:val="left"/>
        <w:tblInd w:w="0" w:type="dxa"/>
        <w:tblCellMar>
          <w:top w:w="57" w:type="dxa"/>
          <w:left w:w="108" w:type="dxa"/>
          <w:bottom w:w="57" w:type="dxa"/>
          <w:right w:w="108" w:type="dxa"/>
        </w:tblCellMar>
      </w:tblPr>
      <w:tblGrid>
        <w:gridCol w:w="4572"/>
        <w:gridCol w:w="5065"/>
      </w:tblGrid>
      <w:tr>
        <w:trPr/>
        <w:tc>
          <w:tcPr>
            <w:tcW w:w="4572" w:type="dxa"/>
            <w:tcBorders/>
            <w:shd w:fill="auto" w:val="clear"/>
          </w:tcPr>
          <w:p>
            <w:pPr>
              <w:pStyle w:val="Normal"/>
              <w:spacing w:lineRule="auto" w:line="240" w:before="0" w:after="0"/>
              <w:rPr>
                <w:rFonts w:ascii="Arial" w:hAnsi="Arial" w:cs="Arial"/>
                <w:b/>
                <w:b/>
              </w:rPr>
            </w:pPr>
            <w:r>
              <w:rPr>
                <w:rFonts w:cs="Arial" w:ascii="Arial" w:hAnsi="Arial"/>
                <w:b/>
              </w:rPr>
              <w:t>Date Job Description prepared/updated:</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November 2025</w:t>
            </w:r>
          </w:p>
        </w:tc>
      </w:tr>
      <w:tr>
        <w:trPr/>
        <w:tc>
          <w:tcPr>
            <w:tcW w:w="4572" w:type="dxa"/>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Nick Libell</w:t>
            </w:r>
          </w:p>
        </w:tc>
      </w:tr>
      <w:tr>
        <w:trPr/>
        <w:tc>
          <w:tcPr>
            <w:tcW w:w="4572"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c>
          <w:tcPr>
            <w:tcW w:w="5065" w:type="dxa"/>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drawing>
          <wp:anchor behindDoc="0" distT="0" distB="0" distL="0" distR="0" simplePos="0" locked="0" layoutInCell="1" allowOverlap="1" relativeHeight="10">
            <wp:simplePos x="0" y="0"/>
            <wp:positionH relativeFrom="column">
              <wp:posOffset>4547235</wp:posOffset>
            </wp:positionH>
            <wp:positionV relativeFrom="paragraph">
              <wp:posOffset>-360680</wp:posOffset>
            </wp:positionV>
            <wp:extent cx="1904365" cy="837565"/>
            <wp:effectExtent l="0" t="0" r="0" b="0"/>
            <wp:wrapNone/>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4"/>
                    <a:srcRect l="-19" t="-43" r="-19" b="-43"/>
                    <a:stretch>
                      <a:fillRect/>
                    </a:stretch>
                  </pic:blipFill>
                  <pic:spPr bwMode="auto">
                    <a:xfrm>
                      <a:off x="0" y="0"/>
                      <a:ext cx="1904365" cy="837565"/>
                    </a:xfrm>
                    <a:prstGeom prst="rect">
                      <a:avLst/>
                    </a:prstGeom>
                  </pic:spPr>
                </pic:pic>
              </a:graphicData>
            </a:graphic>
          </wp:anchor>
        </w:drawing>
      </w:r>
    </w:p>
    <w:p>
      <w:pPr>
        <w:pStyle w:val="Normal"/>
        <w:rPr>
          <w:rFonts w:ascii="Arial" w:hAnsi="Arial" w:cs="Arial"/>
          <w:b/>
          <w:b/>
        </w:rPr>
      </w:pPr>
      <w:r>
        <w:rPr/>
        <w:drawing>
          <wp:inline distT="0" distB="0" distL="0" distR="0">
            <wp:extent cx="3692525" cy="513715"/>
            <wp:effectExtent l="0" t="0" r="0" b="0"/>
            <wp:docPr id="7"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descr=""/>
                    <pic:cNvPicPr>
                      <a:picLocks noChangeAspect="1" noChangeArrowheads="1"/>
                    </pic:cNvPicPr>
                  </pic:nvPicPr>
                  <pic:blipFill>
                    <a:blip r:embed="rId5"/>
                    <a:srcRect l="-12" t="-84" r="-12" b="-84"/>
                    <a:stretch>
                      <a:fillRect/>
                    </a:stretch>
                  </pic:blipFill>
                  <pic:spPr bwMode="auto">
                    <a:xfrm>
                      <a:off x="0" y="0"/>
                      <a:ext cx="3692525" cy="513715"/>
                    </a:xfrm>
                    <a:prstGeom prst="rect">
                      <a:avLst/>
                    </a:prstGeom>
                  </pic:spPr>
                </pic:pic>
              </a:graphicData>
            </a:graphic>
          </wp:inline>
        </w:drawing>
      </w:r>
    </w:p>
    <w:tbl>
      <w:tblPr>
        <w:tblW w:w="10075" w:type="dxa"/>
        <w:jc w:val="left"/>
        <w:tblInd w:w="0" w:type="dxa"/>
        <w:tblCellMar>
          <w:top w:w="0" w:type="dxa"/>
          <w:left w:w="108" w:type="dxa"/>
          <w:bottom w:w="0" w:type="dxa"/>
          <w:right w:w="108" w:type="dxa"/>
        </w:tblCellMar>
      </w:tblPr>
      <w:tblGrid>
        <w:gridCol w:w="675"/>
        <w:gridCol w:w="993"/>
        <w:gridCol w:w="4818"/>
        <w:gridCol w:w="3579"/>
        <w:gridCol w:w="10"/>
      </w:tblGrid>
      <w:tr>
        <w:trPr/>
        <w:tc>
          <w:tcPr>
            <w:tcW w:w="1668" w:type="dxa"/>
            <w:gridSpan w:val="2"/>
            <w:tcBorders/>
            <w:shd w:fill="auto" w:val="clear"/>
          </w:tcPr>
          <w:p>
            <w:pPr>
              <w:pStyle w:val="Normal"/>
              <w:spacing w:before="60" w:after="60"/>
              <w:rPr>
                <w:rFonts w:ascii="Arial" w:hAnsi="Arial" w:cs="Arial"/>
                <w:b/>
                <w:b/>
              </w:rPr>
            </w:pPr>
            <w:r>
              <w:rPr>
                <w:rFonts w:cs="Arial" w:ascii="Arial" w:hAnsi="Arial"/>
                <w:b/>
              </w:rPr>
              <w:t>Department</w:t>
            </w:r>
          </w:p>
        </w:tc>
        <w:tc>
          <w:tcPr>
            <w:tcW w:w="8397" w:type="dxa"/>
            <w:gridSpan w:val="2"/>
            <w:tcBorders/>
            <w:shd w:fill="auto" w:val="clear"/>
          </w:tcPr>
          <w:p>
            <w:pPr>
              <w:pStyle w:val="Normal"/>
              <w:spacing w:before="60" w:after="60"/>
              <w:rPr>
                <w:rFonts w:ascii="Arial" w:hAnsi="Arial" w:cs="Arial"/>
                <w:b/>
                <w:b/>
                <w:caps/>
              </w:rPr>
            </w:pPr>
            <w:r>
              <w:rPr>
                <w:rFonts w:cs="Arial" w:ascii="Arial" w:hAnsi="Arial"/>
                <w:b/>
                <w:caps/>
              </w:rPr>
              <w:t>Children’s Services</w:t>
            </w:r>
          </w:p>
        </w:tc>
      </w:tr>
      <w:tr>
        <w:trPr/>
        <w:tc>
          <w:tcPr>
            <w:tcW w:w="1668" w:type="dxa"/>
            <w:gridSpan w:val="2"/>
            <w:tcBorders>
              <w:bottom w:val="single" w:sz="4" w:space="0" w:color="000000"/>
            </w:tcBorders>
            <w:shd w:fill="auto" w:val="clear"/>
          </w:tcPr>
          <w:p>
            <w:pPr>
              <w:pStyle w:val="Normal"/>
              <w:spacing w:before="60" w:after="240"/>
              <w:rPr>
                <w:rFonts w:ascii="Arial" w:hAnsi="Arial" w:cs="Arial"/>
                <w:b/>
                <w:b/>
              </w:rPr>
            </w:pPr>
            <w:r>
              <w:rPr>
                <w:rFonts w:cs="Arial" w:ascii="Arial" w:hAnsi="Arial"/>
                <w:b/>
              </w:rPr>
              <w:t>Job Title</w:t>
            </w:r>
          </w:p>
        </w:tc>
        <w:tc>
          <w:tcPr>
            <w:tcW w:w="8397" w:type="dxa"/>
            <w:gridSpan w:val="2"/>
            <w:tcBorders>
              <w:bottom w:val="single" w:sz="4" w:space="0" w:color="000000"/>
            </w:tcBorders>
            <w:shd w:fill="auto" w:val="clear"/>
          </w:tcPr>
          <w:p>
            <w:pPr>
              <w:pStyle w:val="Normal"/>
              <w:spacing w:before="60" w:after="60"/>
              <w:rPr>
                <w:rFonts w:ascii="Arial" w:hAnsi="Arial" w:cs="Arial"/>
              </w:rPr>
            </w:pPr>
            <w:r>
              <w:rPr>
                <w:rFonts w:cs="Arial" w:ascii="Arial" w:hAnsi="Arial"/>
              </w:rPr>
              <w:t>Local Authority Designated Officer (LADO)</w:t>
            </w:r>
          </w:p>
          <w:p>
            <w:pPr>
              <w:pStyle w:val="Normal"/>
              <w:spacing w:before="60" w:after="60"/>
              <w:rPr>
                <w:rFonts w:ascii="Arial" w:hAnsi="Arial" w:cs="Arial"/>
                <w:b/>
                <w:b/>
                <w:caps/>
              </w:rPr>
            </w:pPr>
            <w:r>
              <w:rPr>
                <w:rFonts w:cs="Arial" w:ascii="Arial" w:hAnsi="Arial"/>
                <w:b/>
                <w:caps/>
              </w:rPr>
            </w:r>
          </w:p>
        </w:tc>
      </w:tr>
      <w:tr>
        <w:trPr/>
        <w:tc>
          <w:tcPr>
            <w:tcW w:w="1668" w:type="dxa"/>
            <w:gridSpan w:val="2"/>
            <w:tcBorders>
              <w:top w:val="single" w:sz="4" w:space="0" w:color="000000"/>
              <w:left w:val="single" w:sz="4" w:space="0" w:color="000000"/>
              <w:bottom w:val="single" w:sz="4" w:space="0" w:color="000000"/>
            </w:tcBorders>
            <w:shd w:fill="auto" w:val="clear"/>
          </w:tcPr>
          <w:p>
            <w:pPr>
              <w:pStyle w:val="Normal"/>
              <w:spacing w:before="60" w:after="240"/>
              <w:rPr>
                <w:rFonts w:ascii="Arial" w:hAnsi="Arial" w:cs="Arial"/>
                <w:b/>
                <w:b/>
              </w:rPr>
            </w:pPr>
            <w:r>
              <w:rPr>
                <w:rFonts w:cs="Arial" w:ascii="Arial" w:hAnsi="Arial"/>
                <w:b/>
              </w:rPr>
              <w:t>Stage One</w:t>
            </w:r>
          </w:p>
        </w:tc>
        <w:tc>
          <w:tcPr>
            <w:tcW w:w="840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rPr>
            </w:pPr>
            <w:r>
              <w:rPr>
                <w:rFonts w:cs="Arial" w:ascii="Arial" w:hAnsi="Arial"/>
                <w:color w:val="000000"/>
              </w:rPr>
              <w:t>Candidates who are care leavers, have a disability, are ex-armed forces or are a carer (see Carers-Charter-FINAL.pdf (gmhsc.org.uk) are guaranteed an interview if they meet the essential criteria for the role</w:t>
            </w:r>
          </w:p>
        </w:tc>
      </w:tr>
      <w:tr>
        <w:trPr/>
        <w:tc>
          <w:tcPr>
            <w:tcW w:w="6486" w:type="dxa"/>
            <w:gridSpan w:val="3"/>
            <w:tcBorders>
              <w:top w:val="single" w:sz="4" w:space="0" w:color="000000"/>
              <w:lef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The Minimum Essential Requirements for the above Post are as Follows:</w:t>
            </w:r>
          </w:p>
        </w:tc>
        <w:tc>
          <w:tcPr>
            <w:tcW w:w="358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pacing w:before="60" w:after="60"/>
              <w:rPr>
                <w:rFonts w:ascii="Arial" w:hAnsi="Arial" w:cs="Arial"/>
                <w:b/>
                <w:b/>
              </w:rPr>
            </w:pPr>
            <w:r>
              <w:rPr>
                <w:rFonts w:cs="Arial" w:ascii="Arial" w:hAnsi="Arial"/>
                <w:b/>
              </w:rPr>
              <w:t>1.</w:t>
            </w:r>
          </w:p>
        </w:tc>
        <w:tc>
          <w:tcPr>
            <w:tcW w:w="9390" w:type="dxa"/>
            <w:gridSpan w:val="3"/>
            <w:tcBorders>
              <w:bottom w:val="single" w:sz="4" w:space="0" w:color="000000"/>
            </w:tcBorders>
            <w:shd w:fill="D9D9D9" w:val="clear"/>
          </w:tcPr>
          <w:p>
            <w:pPr>
              <w:pStyle w:val="Normal"/>
              <w:spacing w:before="60" w:after="60"/>
              <w:rPr>
                <w:rFonts w:ascii="Arial" w:hAnsi="Arial" w:cs="Arial"/>
                <w:b/>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811" w:type="dxa"/>
            <w:gridSpan w:val="2"/>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develop and manage your own time and resources, and review performance, to meet agreed objectives.</w:t>
            </w:r>
          </w:p>
        </w:tc>
        <w:tc>
          <w:tcPr>
            <w:tcW w:w="357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w:t>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811" w:type="dxa"/>
            <w:gridSpan w:val="2"/>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 xml:space="preserve">Ability to develop and maintain effective professional credibility and working relationships. </w:t>
            </w:r>
          </w:p>
        </w:tc>
        <w:tc>
          <w:tcPr>
            <w:tcW w:w="3579" w:type="dxa"/>
            <w:tcBorders>
              <w:top w:val="single" w:sz="4" w:space="0" w:color="000000"/>
              <w:bottom w:val="single" w:sz="4" w:space="0" w:color="000000"/>
            </w:tcBorders>
            <w:shd w:fill="auto" w:val="clear"/>
          </w:tcPr>
          <w:p>
            <w:pPr>
              <w:pStyle w:val="Normal"/>
              <w:spacing w:lineRule="auto" w:line="240" w:before="120" w:after="0"/>
              <w:rPr>
                <w:rFonts w:ascii="Arial" w:hAnsi="Arial" w:cs="Arial"/>
              </w:rPr>
            </w:pPr>
            <w:r>
              <w:rPr>
                <w:rFonts w:cs="Arial" w:ascii="Arial" w:hAnsi="Arial"/>
              </w:rPr>
              <w:t>Application/Interview</w:t>
            </w:r>
          </w:p>
          <w:p>
            <w:pPr>
              <w:pStyle w:val="Normal"/>
              <w:spacing w:before="120" w:after="120"/>
              <w:rPr>
                <w:rFonts w:ascii="Arial" w:hAnsi="Arial" w:cs="Arial"/>
              </w:rPr>
            </w:pPr>
            <w:r>
              <w:rPr>
                <w:rFonts w:cs="Arial" w:ascii="Arial" w:hAnsi="Arial"/>
              </w:rPr>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811" w:type="dxa"/>
            <w:gridSpan w:val="2"/>
            <w:tcBorders>
              <w:top w:val="single" w:sz="4" w:space="0" w:color="000000"/>
              <w:bottom w:val="single" w:sz="4" w:space="0" w:color="000000"/>
            </w:tcBorders>
            <w:shd w:fill="auto" w:val="clear"/>
          </w:tcPr>
          <w:p>
            <w:pPr>
              <w:pStyle w:val="Default"/>
              <w:rPr>
                <w:sz w:val="22"/>
                <w:szCs w:val="22"/>
              </w:rPr>
            </w:pPr>
            <w:r>
              <w:rPr>
                <w:sz w:val="22"/>
                <w:szCs w:val="22"/>
              </w:rPr>
              <w:t xml:space="preserve">Ability to provide advice and guidance, ability to challenge poor practice as appropriate and to facilitate sound decision making where there are opposing and conflicting views. </w:t>
            </w:r>
          </w:p>
        </w:tc>
        <w:tc>
          <w:tcPr>
            <w:tcW w:w="3579" w:type="dxa"/>
            <w:tcBorders>
              <w:top w:val="single" w:sz="4" w:space="0" w:color="000000"/>
              <w:bottom w:val="single" w:sz="4" w:space="0" w:color="000000"/>
            </w:tcBorders>
            <w:shd w:fill="auto" w:val="clear"/>
          </w:tcPr>
          <w:p>
            <w:pPr>
              <w:pStyle w:val="Normal"/>
              <w:snapToGrid w:val="false"/>
              <w:spacing w:lineRule="auto" w:line="240" w:before="120" w:after="0"/>
              <w:rPr>
                <w:rFonts w:ascii="Arial" w:hAnsi="Arial" w:cs="Arial"/>
              </w:rPr>
            </w:pPr>
            <w:r>
              <w:rPr>
                <w:rFonts w:cs="Arial" w:ascii="Arial" w:hAnsi="Arial"/>
              </w:rPr>
            </w:r>
          </w:p>
        </w:tc>
      </w:tr>
      <w:tr>
        <w:trPr>
          <w:cantSplit w:val="true"/>
        </w:trPr>
        <w:tc>
          <w:tcPr>
            <w:tcW w:w="675"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5811" w:type="dxa"/>
            <w:gridSpan w:val="2"/>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obtain, analyse, maintain, record and store information records and reports to support decision making.</w:t>
            </w:r>
          </w:p>
        </w:tc>
        <w:tc>
          <w:tcPr>
            <w:tcW w:w="357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use, interpret, handle and communicate information appropriately, including preparing reports on complex issues and chairing multi-agency meetings in a range of settings.</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Application/Interview/ presentation</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6.</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Knowledge of how to manage the allegation process.</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7.</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To demonstrate a comprehensive knowledge of legislation, guidance and regulation relating to child protection.</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8.</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provide direction, motivate and support people to achieve the vision and objectives for your area of responsibility.</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Interview/presentation</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9.</w:t>
            </w:r>
          </w:p>
        </w:tc>
        <w:tc>
          <w:tcPr>
            <w:tcW w:w="5811" w:type="dxa"/>
            <w:gridSpan w:val="2"/>
            <w:tcBorders>
              <w:bottom w:val="single" w:sz="4" w:space="0" w:color="000000"/>
            </w:tcBorders>
            <w:shd w:fill="auto" w:val="clear"/>
          </w:tcPr>
          <w:p>
            <w:pPr>
              <w:pStyle w:val="Normal"/>
              <w:spacing w:before="120" w:after="120"/>
              <w:ind w:left="0" w:right="175" w:hanging="0"/>
              <w:rPr/>
            </w:pPr>
            <w:r>
              <w:rPr>
                <w:rFonts w:cs="Arial" w:ascii="Arial" w:hAnsi="Arial"/>
              </w:rPr>
              <w:t>Ability to prepare, produce, implement and evaluate plans with others and revise plans to meet changing needs and circumstances</w:t>
            </w:r>
            <w:r>
              <w:rPr>
                <w:rFonts w:cs="Arial" w:ascii="Arial" w:hAnsi="Arial"/>
                <w:color w:val="FF0000"/>
              </w:rPr>
              <w:t>.</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10.</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communicate effectively to a range of audiences, including both verbally and in writing and including training of others in LADO processes.</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Application/Interview/ presentation</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11.</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prepare for, participate in, and enable others to be involved in, decision making forums.</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p>
            <w:pPr>
              <w:pStyle w:val="Normal"/>
              <w:spacing w:before="120" w:after="120"/>
              <w:rPr>
                <w:rFonts w:ascii="Arial" w:hAnsi="Arial" w:cs="Arial"/>
              </w:rPr>
            </w:pPr>
            <w:r>
              <w:rPr>
                <w:rFonts w:cs="Arial" w:ascii="Arial" w:hAnsi="Arial"/>
              </w:rPr>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12.</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Have the professional and technical knowledge in respect of child protection and children looked after processes and have a thorough understanding of Human Resource / employment approaches and activity.</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Application/Interview/ presentation</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13.</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work within the principles and values underpinning professional practice.</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14.</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identify, monitor and solve customer service problems and take action to avoid and prevent the repetition of problems.</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15.</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Have a thorough understanding of approaches to ensure the voice of the child and their experience is at the core of planning and intervention.</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16.</w:t>
            </w:r>
          </w:p>
        </w:tc>
        <w:tc>
          <w:tcPr>
            <w:tcW w:w="5811" w:type="dxa"/>
            <w:gridSpan w:val="2"/>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Have knowledge of Fostering Minimum Standards</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Application/interview</w:t>
            </w:r>
          </w:p>
        </w:tc>
      </w:tr>
      <w:tr>
        <w:trPr>
          <w:cantSplit w:val="true"/>
        </w:trPr>
        <w:tc>
          <w:tcPr>
            <w:tcW w:w="675" w:type="dxa"/>
            <w:tcBorders>
              <w:bottom w:val="single" w:sz="4" w:space="0" w:color="000000"/>
            </w:tcBorders>
            <w:shd w:fill="auto" w:val="clear"/>
          </w:tcPr>
          <w:p>
            <w:pPr>
              <w:pStyle w:val="Normal"/>
              <w:spacing w:before="120" w:after="120"/>
              <w:rPr>
                <w:rFonts w:ascii="Arial" w:hAnsi="Arial" w:cs="Arial"/>
              </w:rPr>
            </w:pPr>
            <w:r>
              <w:rPr>
                <w:rFonts w:cs="Arial" w:ascii="Arial" w:hAnsi="Arial"/>
              </w:rPr>
              <w:t>17.</w:t>
            </w:r>
          </w:p>
        </w:tc>
        <w:tc>
          <w:tcPr>
            <w:tcW w:w="5811" w:type="dxa"/>
            <w:gridSpan w:val="2"/>
            <w:tcBorders>
              <w:bottom w:val="single" w:sz="4" w:space="0" w:color="000000"/>
            </w:tcBorders>
            <w:shd w:fill="auto" w:val="clear"/>
          </w:tcPr>
          <w:p>
            <w:pPr>
              <w:pStyle w:val="Normal"/>
              <w:spacing w:before="120" w:after="120"/>
              <w:ind w:left="0" w:right="175" w:hanging="0"/>
              <w:rPr/>
            </w:pPr>
            <w:r>
              <w:rPr>
                <w:rFonts w:cs="Arial" w:ascii="Arial" w:hAnsi="Arial"/>
                <w:b/>
              </w:rPr>
              <w:t>Competencies</w:t>
            </w:r>
            <w:r>
              <w:rPr>
                <w:rFonts w:cs="Arial" w:ascii="Arial" w:hAnsi="Arial"/>
              </w:rPr>
              <w:t xml:space="preserve"> – Please note the council’s corporate competencies, which are considered to be essential for all roles are below in the Core Competencies Section </w:t>
            </w:r>
          </w:p>
        </w:tc>
        <w:tc>
          <w:tcPr>
            <w:tcW w:w="357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bl>
    <w:p>
      <w:pPr>
        <w:pStyle w:val="Normal"/>
        <w:rPr/>
      </w:pPr>
      <w:r>
        <w:rPr/>
      </w:r>
    </w:p>
    <w:tbl>
      <w:tblPr>
        <w:tblW w:w="10070" w:type="dxa"/>
        <w:jc w:val="left"/>
        <w:tblInd w:w="0" w:type="dxa"/>
        <w:tblCellMar>
          <w:top w:w="0" w:type="dxa"/>
          <w:left w:w="108" w:type="dxa"/>
          <w:bottom w:w="0" w:type="dxa"/>
          <w:right w:w="108" w:type="dxa"/>
        </w:tblCellMar>
      </w:tblPr>
      <w:tblGrid>
        <w:gridCol w:w="708"/>
        <w:gridCol w:w="5759"/>
        <w:gridCol w:w="3603"/>
      </w:tblGrid>
      <w:tr>
        <w:trPr>
          <w:cantSplit w:val="true"/>
        </w:trPr>
        <w:tc>
          <w:tcPr>
            <w:tcW w:w="1007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Social Work Qualification and be registered with Social Work England.</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Computer literate and competent in accessing and understanding different computer reporting portals.</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59" w:type="dxa"/>
            <w:tcBorders>
              <w:top w:val="single" w:sz="4" w:space="0" w:color="000000"/>
              <w:bottom w:val="single" w:sz="4" w:space="0" w:color="000000"/>
            </w:tcBorders>
            <w:shd w:fill="auto" w:val="clear"/>
          </w:tcPr>
          <w:p>
            <w:pPr>
              <w:pStyle w:val="Default"/>
              <w:rPr>
                <w:sz w:val="22"/>
                <w:szCs w:val="22"/>
              </w:rPr>
            </w:pPr>
            <w:r>
              <w:rPr>
                <w:sz w:val="22"/>
                <w:szCs w:val="22"/>
              </w:rPr>
              <w:t xml:space="preserve">Substantial post qualification experience in work with children and families with significant demonstrable experience in a statutory child care agency. </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Experience regarding safeguarding and worked within the field of statutory child protection</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Evidence of having had oversight of investigations, including those into the conduct of senior members of staff and whistleblowing situations, alongside evidenced ability to operate professionally and independently in such circumstances.</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Application/interview</w:t>
            </w:r>
          </w:p>
        </w:tc>
      </w:tr>
      <w:tr>
        <w:trPr>
          <w:cantSplit w:val="true"/>
        </w:trPr>
        <w:tc>
          <w:tcPr>
            <w:tcW w:w="10070"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3.</w:t>
              <w:tab/>
              <w:t>Work Related Circumstances</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color w:val="000000"/>
              </w:rPr>
            </w:pPr>
            <w:r>
              <w:rPr>
                <w:rFonts w:cs="Arial" w:ascii="Arial" w:hAnsi="Arial"/>
                <w:color w:val="000000"/>
              </w:rPr>
              <w:t>All posts require the job holder to undertake mandatory training for the role and to regularly review their developmental needs in conjunction with their line manager. Development of our employees plays a key role in delivering our services</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color w:val="000000"/>
              </w:rPr>
            </w:pPr>
            <w:r>
              <w:rPr>
                <w:rFonts w:cs="Arial" w:ascii="Arial" w:hAnsi="Arial"/>
                <w:color w:val="000000"/>
              </w:rPr>
              <w:t>The Council has a framework of Values &amp; Behaviours that guide our behaviour and decision making to help achieve our vision. All employees are expected to be mindful of these when undertaking their work.</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The nature and demands of the postholder’s time are not always predictable and there will be an expectation that work will be required outside normal hours from time to time.</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This post has been designated an essential car user post. Applicants must hold a full, current and valid driving licence and a vehicle with a current valid MOT certificate. There must also be adequate vehicle insurance cover to comply with the council’s requirements, in line with the Travel Costs Reimbursement Policy</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70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75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60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bl>
    <w:p>
      <w:pPr>
        <w:pStyle w:val="Normal"/>
        <w:rPr/>
      </w:pPr>
      <w:r>
        <w:rPr/>
      </w:r>
    </w:p>
    <w:tbl>
      <w:tblPr>
        <w:tblW w:w="10069" w:type="dxa"/>
        <w:jc w:val="left"/>
        <w:tblInd w:w="0" w:type="dxa"/>
        <w:tblCellMar>
          <w:top w:w="0" w:type="dxa"/>
          <w:left w:w="108" w:type="dxa"/>
          <w:bottom w:w="0" w:type="dxa"/>
          <w:right w:w="108" w:type="dxa"/>
        </w:tblCellMar>
      </w:tblPr>
      <w:tblGrid>
        <w:gridCol w:w="1808"/>
        <w:gridCol w:w="4678"/>
        <w:gridCol w:w="3583"/>
      </w:tblGrid>
      <w:tr>
        <w:trPr>
          <w:trHeight w:val="653" w:hRule="atLeast"/>
        </w:trPr>
        <w:tc>
          <w:tcPr>
            <w:tcW w:w="1808"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ascii="Arial" w:hAnsi="Arial" w:cs="Arial"/>
                <w:b/>
                <w:b/>
              </w:rPr>
            </w:pPr>
            <w:r>
              <w:rPr>
                <w:rFonts w:cs="Arial" w:ascii="Arial" w:hAnsi="Arial"/>
                <w:b/>
              </w:rPr>
              <w:t>STAGE TWO</w:t>
            </w:r>
          </w:p>
        </w:tc>
        <w:tc>
          <w:tcPr>
            <w:tcW w:w="826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486" w:type="dxa"/>
            <w:gridSpan w:val="2"/>
            <w:tcBorders>
              <w:top w:val="single" w:sz="4" w:space="0" w:color="000000"/>
              <w:left w:val="single" w:sz="4" w:space="0" w:color="000000"/>
              <w:bottom w:val="single" w:sz="4" w:space="0" w:color="000000"/>
            </w:tcBorders>
            <w:shd w:fill="0A0A0A" w:val="clear"/>
          </w:tcPr>
          <w:p>
            <w:pPr>
              <w:pStyle w:val="Normal"/>
              <w:spacing w:before="120" w:after="120"/>
              <w:rPr>
                <w:rFonts w:ascii="Arial" w:hAnsi="Arial" w:cs="Arial"/>
                <w:b/>
                <w:b/>
                <w:color w:val="FFFFFF"/>
              </w:rPr>
            </w:pPr>
            <w:r>
              <w:rPr>
                <w:rFonts w:cs="Arial" w:ascii="Arial" w:hAnsi="Arial"/>
                <w:b/>
                <w:color w:val="FFFFFF"/>
              </w:rPr>
              <w:t>Additional Requirements</w:t>
            </w:r>
          </w:p>
        </w:tc>
        <w:tc>
          <w:tcPr>
            <w:tcW w:w="3583" w:type="dxa"/>
            <w:tcBorders>
              <w:top w:val="single" w:sz="4" w:space="0" w:color="000000"/>
              <w:left w:val="single" w:sz="4" w:space="0" w:color="000000"/>
              <w:bottom w:val="single" w:sz="4" w:space="0" w:color="000000"/>
              <w:right w:val="single" w:sz="4" w:space="0" w:color="000000"/>
            </w:tcBorders>
            <w:shd w:fill="0A0A0A" w:val="clear"/>
          </w:tcPr>
          <w:p>
            <w:pPr>
              <w:pStyle w:val="Normal"/>
              <w:spacing w:before="120" w:after="120"/>
              <w:rPr>
                <w:rFonts w:ascii="Arial" w:hAnsi="Arial" w:cs="Arial"/>
                <w:b/>
                <w:b/>
                <w:color w:val="FFFFFF"/>
              </w:rPr>
            </w:pPr>
            <w:r>
              <w:rPr>
                <w:rFonts w:cs="Arial" w:ascii="Arial" w:hAnsi="Arial"/>
                <w:b/>
                <w:color w:val="FFFFFF"/>
              </w:rPr>
              <w:t>Method of Assessment</w:t>
            </w:r>
          </w:p>
        </w:tc>
      </w:tr>
      <w:tr>
        <w:trPr>
          <w:cantSplit w:val="true"/>
        </w:trPr>
        <w:tc>
          <w:tcPr>
            <w:tcW w:w="10069"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1.</w:t>
              <w:tab/>
              <w:t>Skills and Knowledge</w:t>
            </w:r>
          </w:p>
        </w:tc>
      </w:tr>
      <w:tr>
        <w:trPr>
          <w:cantSplit w:val="true"/>
        </w:trPr>
        <w:tc>
          <w:tcPr>
            <w:tcW w:w="10069" w:type="dxa"/>
            <w:gridSpan w:val="3"/>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Date Person Specification prepared/update:</w:t>
        <w:tab/>
        <w:t>November 2025</w:t>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Person Specification prepared by:</w:t>
        <w:tab/>
        <w:tab/>
        <w:tab/>
        <w:t xml:space="preserve">Nick Libell </w:t>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rFonts w:ascii="Arial" w:hAnsi="Arial" w:cs="Arial"/>
          <w:bCs/>
          <w:iCs/>
        </w:rPr>
      </w:pPr>
      <w:r>
        <w:rPr>
          <w:rFonts w:cs="Arial" w:ascii="Arial" w:hAnsi="Arial"/>
          <w:bCs/>
          <w:iCs/>
        </w:rPr>
      </w:r>
    </w:p>
    <w:p>
      <w:pPr>
        <w:pStyle w:val="Normal"/>
        <w:rPr>
          <w:rFonts w:ascii="Arial" w:hAnsi="Arial" w:cs="Arial"/>
          <w:bCs/>
          <w:iCs/>
        </w:rPr>
      </w:pPr>
      <w:r>
        <w:rPr>
          <w:rFonts w:cs="Arial" w:ascii="Arial" w:hAnsi="Arial"/>
          <w:bCs/>
          <w:iCs/>
        </w:rPr>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6122035" cy="1628140"/>
            <wp:effectExtent l="0" t="0" r="0" b="0"/>
            <wp:docPr id="8"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descr=""/>
                    <pic:cNvPicPr>
                      <a:picLocks noChangeAspect="1" noChangeArrowheads="1"/>
                    </pic:cNvPicPr>
                  </pic:nvPicPr>
                  <pic:blipFill>
                    <a:blip r:embed="rId6"/>
                    <a:srcRect l="-4" t="-14" r="-4" b="-14"/>
                    <a:stretch>
                      <a:fillRect/>
                    </a:stretch>
                  </pic:blipFill>
                  <pic:spPr bwMode="auto">
                    <a:xfrm>
                      <a:off x="0" y="0"/>
                      <a:ext cx="6122035" cy="1628140"/>
                    </a:xfrm>
                    <a:prstGeom prst="rect">
                      <a:avLst/>
                    </a:prstGeom>
                  </pic:spPr>
                </pic:pic>
              </a:graphicData>
            </a:graphic>
          </wp:inline>
        </w:drawing>
      </w:r>
    </w:p>
    <w:p>
      <w:pPr>
        <w:pStyle w:val="Normal"/>
        <w:rPr/>
      </w:pPr>
      <w:r>
        <w:rPr/>
        <w:drawing>
          <wp:inline distT="0" distB="0" distL="0" distR="0">
            <wp:extent cx="6118225" cy="1684655"/>
            <wp:effectExtent l="0" t="0" r="0" b="0"/>
            <wp:docPr id="9"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 descr=""/>
                    <pic:cNvPicPr>
                      <a:picLocks noChangeAspect="1" noChangeArrowheads="1"/>
                    </pic:cNvPicPr>
                  </pic:nvPicPr>
                  <pic:blipFill>
                    <a:blip r:embed="rId7"/>
                    <a:srcRect l="-4" t="-13" r="-4" b="-13"/>
                    <a:stretch>
                      <a:fillRect/>
                    </a:stretch>
                  </pic:blipFill>
                  <pic:spPr bwMode="auto">
                    <a:xfrm>
                      <a:off x="0" y="0"/>
                      <a:ext cx="6118225" cy="1684655"/>
                    </a:xfrm>
                    <a:prstGeom prst="rect">
                      <a:avLst/>
                    </a:prstGeom>
                  </pic:spPr>
                </pic:pic>
              </a:graphicData>
            </a:graphic>
          </wp:inline>
        </w:drawing>
      </w:r>
      <w:r>
        <w:rPr/>
        <w:drawing>
          <wp:inline distT="0" distB="0" distL="0" distR="0">
            <wp:extent cx="6117590" cy="1514475"/>
            <wp:effectExtent l="0" t="0" r="0" b="0"/>
            <wp:docPr id="10"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descr=""/>
                    <pic:cNvPicPr>
                      <a:picLocks noChangeAspect="1" noChangeArrowheads="1"/>
                    </pic:cNvPicPr>
                  </pic:nvPicPr>
                  <pic:blipFill>
                    <a:blip r:embed="rId8"/>
                    <a:srcRect l="-4" t="-15" r="-4" b="-15"/>
                    <a:stretch>
                      <a:fillRect/>
                    </a:stretch>
                  </pic:blipFill>
                  <pic:spPr bwMode="auto">
                    <a:xfrm>
                      <a:off x="0" y="0"/>
                      <a:ext cx="6117590" cy="1514475"/>
                    </a:xfrm>
                    <a:prstGeom prst="rect">
                      <a:avLst/>
                    </a:prstGeom>
                  </pic:spPr>
                </pic:pic>
              </a:graphicData>
            </a:graphic>
          </wp:inline>
        </w:drawing>
      </w:r>
      <w:r>
        <w:rPr/>
        <w:drawing>
          <wp:inline distT="0" distB="0" distL="0" distR="0">
            <wp:extent cx="6120130" cy="1304290"/>
            <wp:effectExtent l="0" t="0" r="0" b="0"/>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9"/>
                    <a:srcRect l="-4" t="-15" r="-4" b="-15"/>
                    <a:stretch>
                      <a:fillRect/>
                    </a:stretch>
                  </pic:blipFill>
                  <pic:spPr bwMode="auto">
                    <a:xfrm>
                      <a:off x="0" y="0"/>
                      <a:ext cx="6120130" cy="1304290"/>
                    </a:xfrm>
                    <a:prstGeom prst="rect">
                      <a:avLst/>
                    </a:prstGeom>
                  </pic:spPr>
                </pic:pic>
              </a:graphicData>
            </a:graphic>
          </wp:inline>
        </w:drawing>
      </w:r>
    </w:p>
    <w:p>
      <w:pPr>
        <w:pStyle w:val="Normal"/>
        <w:rPr/>
      </w:pPr>
      <w:r>
        <w:rPr/>
        <w:drawing>
          <wp:inline distT="0" distB="0" distL="0" distR="0">
            <wp:extent cx="6120765" cy="1504950"/>
            <wp:effectExtent l="0" t="0" r="0" b="0"/>
            <wp:docPr id="12"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 descr=""/>
                    <pic:cNvPicPr>
                      <a:picLocks noChangeAspect="1" noChangeArrowheads="1"/>
                    </pic:cNvPicPr>
                  </pic:nvPicPr>
                  <pic:blipFill>
                    <a:blip r:embed="rId10"/>
                    <a:srcRect l="-6" t="-19" r="-6" b="-19"/>
                    <a:stretch>
                      <a:fillRect/>
                    </a:stretch>
                  </pic:blipFill>
                  <pic:spPr bwMode="auto">
                    <a:xfrm>
                      <a:off x="0" y="0"/>
                      <a:ext cx="6120765" cy="1504950"/>
                    </a:xfrm>
                    <a:prstGeom prst="rect">
                      <a:avLst/>
                    </a:prstGeom>
                  </pic:spPr>
                </pic:pic>
              </a:graphicData>
            </a:graphic>
          </wp:inline>
        </w:drawing>
      </w:r>
    </w:p>
    <w:p>
      <w:pPr>
        <w:pStyle w:val="Normal"/>
        <w:widowControl/>
        <w:bidi w:val="0"/>
        <w:spacing w:lineRule="auto" w:line="276" w:before="0" w:after="200"/>
        <w:jc w:val="left"/>
        <w:rPr/>
      </w:pPr>
      <w:r>
        <w:rPr/>
      </w:r>
    </w:p>
    <w:sectPr>
      <w:footerReference w:type="default" r:id="rId11"/>
      <w:type w:val="nextPage"/>
      <w:pgSz w:w="11906" w:h="16838"/>
      <w:pgMar w:left="1134" w:right="1134" w:header="0" w:top="1361" w:footer="709" w:bottom="1134" w:gutter="0"/>
      <w:pgNumType w:fmt="decimal"/>
      <w:formProt w:val="false"/>
      <w:textDirection w:val="lrTb"/>
      <w:docGrid w:type="default" w:linePitch="360" w:charSpace="4096"/>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Wardle, Sharon" w:date="2025-12-05T12:48:00Z" w:initials="SW">
    <w:p>
      <w:r>
        <w:rPr>
          <w:rFonts w:ascii="Liberation Serif;Times New Roman" w:hAnsi="Liberation Serif;Times New Roman" w:eastAsia="Segoe UI" w:cs="Tahoma"/>
          <w:color w:val="auto"/>
          <w:kern w:val="0"/>
          <w:sz w:val="24"/>
          <w:szCs w:val="24"/>
          <w:lang w:val="en-US" w:eastAsia="en-US" w:bidi="en-US"/>
        </w:rPr>
        <w:t>@HR Corporate this looks like a broader description of original point 9 would it still fit under JEQ scores  BEEN RESOLVED NO ISSUE</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b/>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WW8Num1z0">
    <w:name w:val="WW8Num1z0"/>
    <w:qFormat/>
    <w:rPr>
      <w:b/>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footer" Target="footer1.xml"/><Relationship Id="rId12" Type="http://schemas.openxmlformats.org/officeDocument/2006/relationships/comments" Target="comment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